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b/>
          <w:bCs w:val="0"/>
          <w:kern w:val="0"/>
          <w:sz w:val="44"/>
          <w:szCs w:val="44"/>
          <w:vertAlign w:val="baseline"/>
          <w:lang w:eastAsia="zh-CN"/>
        </w:rPr>
      </w:pPr>
      <w:r>
        <w:rPr>
          <w:rFonts w:hint="eastAsia" w:ascii="黑体" w:hAnsi="黑体" w:eastAsia="黑体" w:cs="黑体"/>
          <w:b/>
          <w:bCs w:val="0"/>
          <w:kern w:val="0"/>
          <w:sz w:val="44"/>
          <w:szCs w:val="44"/>
          <w:vertAlign w:val="baseline"/>
          <w:lang w:eastAsia="zh-CN"/>
        </w:rPr>
        <w:t>加拿大多伦多大学学期交流项目介绍</w:t>
      </w:r>
    </w:p>
    <w:p>
      <w:pPr>
        <w:jc w:val="center"/>
        <w:rPr>
          <w:rFonts w:hint="eastAsia" w:ascii="黑体" w:hAnsi="黑体" w:eastAsia="黑体" w:cs="黑体"/>
          <w:b/>
          <w:bCs w:val="0"/>
          <w:kern w:val="0"/>
          <w:sz w:val="36"/>
          <w:szCs w:val="36"/>
          <w:vertAlign w:val="baseline"/>
          <w:lang w:eastAsia="zh-CN"/>
        </w:rPr>
      </w:pPr>
    </w:p>
    <w:p>
      <w:pPr>
        <w:keepNext w:val="0"/>
        <w:keepLines w:val="0"/>
        <w:pageBreakBefore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color w:val="000000"/>
          <w:kern w:val="0"/>
          <w:sz w:val="24"/>
          <w:szCs w:val="24"/>
          <w:lang w:val="en-US" w:eastAsia="zh-CN" w:bidi="ar"/>
        </w:rPr>
        <w:t>一、加拿大多伦多大学简介</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创建于1827年，加拿大规模最大历史最悠久的综合性公立大学；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  全球仅有三所大学在11个主要专业领域于世界排名30位以内：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o ——斯坦福大学、多伦多大学、哥伦比亚大学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  人工智能深度学习革命的起源地和先驱；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  2020年美国新闻与世界报道全球大学综合排名第18； 2020年QS世界大学综合排名第25；2020年 THE世界大学排名第18；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sz w:val="24"/>
          <w:szCs w:val="24"/>
        </w:rPr>
      </w:pPr>
      <w:r>
        <w:rPr>
          <w:rFonts w:hint="eastAsia" w:ascii="华文中宋" w:hAnsi="华文中宋" w:eastAsia="华文中宋" w:cs="华文中宋"/>
          <w:color w:val="auto"/>
          <w:kern w:val="0"/>
          <w:sz w:val="24"/>
          <w:szCs w:val="24"/>
          <w:lang w:val="en-US" w:eastAsia="zh-CN" w:bidi="ar"/>
        </w:rPr>
        <w:t xml:space="preserve">•  拥有3个校区，下设18个学部，学生超过9万人，教职人员超过2万人，拥有超过980个学科专业，孕育出4位加拿大总理、15位最高法院大法官及10名诺贝尔奖得主；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kern w:val="0"/>
          <w:sz w:val="24"/>
          <w:szCs w:val="24"/>
          <w:lang w:val="en-US" w:eastAsia="zh-CN" w:bidi="ar"/>
        </w:rPr>
      </w:pPr>
      <w:r>
        <w:rPr>
          <w:rFonts w:hint="eastAsia" w:ascii="华文中宋" w:hAnsi="华文中宋" w:eastAsia="华文中宋" w:cs="华文中宋"/>
          <w:color w:val="auto"/>
          <w:kern w:val="0"/>
          <w:sz w:val="24"/>
          <w:szCs w:val="24"/>
          <w:lang w:val="en-US" w:eastAsia="zh-CN" w:bidi="ar"/>
        </w:rPr>
        <w:t>•  为美国大学协会中仅有的两所非美国学府之一，每年发表的科研论文数量在北美仅次于哈佛大学，引用数量位居世界前5；</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kern w:val="0"/>
          <w:sz w:val="24"/>
          <w:szCs w:val="24"/>
          <w:lang w:val="en-US" w:eastAsia="zh-CN" w:bidi="ar"/>
        </w:rPr>
      </w:pPr>
      <w:r>
        <w:rPr>
          <w:rFonts w:hint="eastAsia" w:ascii="华文中宋" w:hAnsi="华文中宋" w:eastAsia="华文中宋" w:cs="华文中宋"/>
          <w:color w:val="auto"/>
          <w:kern w:val="0"/>
          <w:sz w:val="24"/>
          <w:szCs w:val="24"/>
          <w:lang w:val="en-US" w:eastAsia="zh-CN" w:bidi="ar"/>
        </w:rPr>
        <w:t>•  坐落于加拿大最大城市多伦多—北美最活跃创新及金融中心之一；</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auto"/>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color w:val="000000"/>
          <w:kern w:val="0"/>
          <w:sz w:val="24"/>
          <w:szCs w:val="24"/>
          <w:lang w:val="en-US" w:eastAsia="zh-CN" w:bidi="ar"/>
        </w:rPr>
        <w:t>二、菲尔兹研究所简介</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sz w:val="24"/>
          <w:szCs w:val="24"/>
        </w:rPr>
      </w:pPr>
      <w:r>
        <w:rPr>
          <w:rFonts w:hint="eastAsia" w:ascii="华文中宋" w:hAnsi="华文中宋" w:eastAsia="华文中宋" w:cs="华文中宋"/>
          <w:color w:val="000000"/>
          <w:kern w:val="0"/>
          <w:sz w:val="24"/>
          <w:szCs w:val="24"/>
          <w:lang w:val="en-US" w:eastAsia="zh-CN" w:bidi="ar"/>
        </w:rPr>
        <w:t xml:space="preserve">•  菲尔兹数学科学研究所(Fields Institute for Research in Mathematical Sciences)被授予加拿大数学家John Charles Fields约翰·查尔斯·菲尔兹的名字而成立，以表彰菲尔兹对世界数学的开创性贡献以及他代表高水平数学学术所做的工。菲尔兹数学科学研究所作为世界顶尖数理研究中心，为人工智能的发展奠定基础。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sz w:val="24"/>
          <w:szCs w:val="24"/>
        </w:rPr>
      </w:pPr>
      <w:r>
        <w:rPr>
          <w:rFonts w:hint="eastAsia" w:ascii="华文中宋" w:hAnsi="华文中宋" w:eastAsia="华文中宋" w:cs="华文中宋"/>
          <w:color w:val="000000"/>
          <w:kern w:val="0"/>
          <w:sz w:val="24"/>
          <w:szCs w:val="24"/>
          <w:lang w:val="en-US" w:eastAsia="zh-CN" w:bidi="ar"/>
        </w:rPr>
        <w:t xml:space="preserve">•  菲尔兹奖也称作国际杰出数学发现奖，在菲尔兹过世后，由多伦多大学数学系将菲尔兹奖项设立建议转交给第九次国际数学家大会而设立。这个奖项是数学界的最高奖项 Fields Medal-被誉为数学界的诺贝尔奖。菲尔兹奖只颁发给 40岁以下的杰出数学家。我国最具影响力之一的数学家丘成桐曾在1982年获得此奖项。 </w:t>
      </w: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菲尔兹奖牌的最初青铜原型由菲尔兹研究院保管。</w:t>
      </w:r>
    </w:p>
    <w:p>
      <w:pPr>
        <w:keepNext w:val="0"/>
        <w:keepLines w:val="0"/>
        <w:widowControl/>
        <w:suppressLineNumbers w:val="0"/>
        <w:jc w:val="left"/>
        <w:rPr>
          <w:rFonts w:hint="eastAsia" w:ascii="微软雅黑" w:hAnsi="微软雅黑" w:eastAsia="微软雅黑" w:cs="微软雅黑"/>
          <w:color w:val="000000"/>
          <w:kern w:val="0"/>
          <w:sz w:val="22"/>
          <w:szCs w:val="22"/>
          <w:lang w:val="en-US" w:eastAsia="zh-CN" w:bidi="ar"/>
        </w:rPr>
      </w:pP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三、</w:t>
      </w:r>
      <w:r>
        <w:rPr>
          <w:rFonts w:hint="eastAsia" w:ascii="华文中宋" w:hAnsi="华文中宋" w:eastAsia="华文中宋" w:cs="华文中宋"/>
          <w:b/>
          <w:bCs/>
          <w:color w:val="000000"/>
          <w:kern w:val="0"/>
          <w:sz w:val="24"/>
          <w:szCs w:val="24"/>
          <w:lang w:val="en-US" w:eastAsia="zh-CN" w:bidi="ar"/>
        </w:rPr>
        <w:t>项目简介</w:t>
      </w:r>
    </w:p>
    <w:p>
      <w:pPr>
        <w:keepNext w:val="0"/>
        <w:keepLines w:val="0"/>
        <w:pageBreakBefore w:val="0"/>
        <w:widowControl/>
        <w:numPr>
          <w:ilvl w:val="0"/>
          <w:numId w:val="1"/>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项目提供课程及师资的学部但不限于以下：</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多伦多大学应用科学及工程学部、多伦多大学文理学部、菲尔兹研究所</w:t>
      </w:r>
    </w:p>
    <w:p>
      <w:pPr>
        <w:keepNext w:val="0"/>
        <w:keepLines w:val="0"/>
        <w:pageBreakBefore w:val="0"/>
        <w:widowControl/>
        <w:numPr>
          <w:ilvl w:val="0"/>
          <w:numId w:val="1"/>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项目持续时间为2024年9月至2024年12月，共计4个月时长。</w:t>
      </w:r>
    </w:p>
    <w:p>
      <w:pPr>
        <w:keepNext w:val="0"/>
        <w:keepLines w:val="0"/>
        <w:pageBreakBefore w:val="0"/>
        <w:widowControl/>
        <w:numPr>
          <w:ilvl w:val="0"/>
          <w:numId w:val="1"/>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课堂规模：不少于 20 人</w:t>
      </w:r>
    </w:p>
    <w:p>
      <w:pPr>
        <w:keepNext w:val="0"/>
        <w:keepLines w:val="0"/>
        <w:pageBreakBefore w:val="0"/>
        <w:widowControl/>
        <w:numPr>
          <w:ilvl w:val="0"/>
          <w:numId w:val="1"/>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本项目适用专业：理工科、数学、应用数学、统计、计算机、信息、工程等</w:t>
      </w:r>
    </w:p>
    <w:p>
      <w:pPr>
        <w:keepNext w:val="0"/>
        <w:keepLines w:val="0"/>
        <w:pageBreakBefore w:val="0"/>
        <w:widowControl/>
        <w:numPr>
          <w:ilvl w:val="0"/>
          <w:numId w:val="1"/>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sz w:val="24"/>
          <w:szCs w:val="24"/>
          <w:lang w:eastAsia="zh-CN"/>
        </w:rPr>
        <w:t>项目</w:t>
      </w:r>
      <w:r>
        <w:rPr>
          <w:rFonts w:hint="eastAsia" w:ascii="华文中宋" w:hAnsi="华文中宋" w:eastAsia="华文中宋" w:cs="华文中宋"/>
          <w:sz w:val="24"/>
          <w:szCs w:val="24"/>
        </w:rPr>
        <w:t>课程清单如下</w:t>
      </w:r>
      <w:r>
        <w:rPr>
          <w:rFonts w:hint="eastAsia" w:ascii="华文中宋" w:hAnsi="华文中宋" w:eastAsia="华文中宋" w:cs="华文中宋"/>
          <w:sz w:val="24"/>
          <w:szCs w:val="24"/>
          <w:lang w:eastAsia="zh-CN"/>
        </w:rPr>
        <w:t>，课程介绍见附件</w:t>
      </w:r>
    </w:p>
    <w:tbl>
      <w:tblPr>
        <w:tblStyle w:val="4"/>
        <w:tblW w:w="0" w:type="auto"/>
        <w:tblInd w:w="9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15" w:type="dxa"/>
          <w:bottom w:w="0" w:type="dxa"/>
          <w:right w:w="115" w:type="dxa"/>
        </w:tblCellMar>
      </w:tblPr>
      <w:tblGrid>
        <w:gridCol w:w="7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78" w:hRule="atLeast"/>
        </w:trPr>
        <w:tc>
          <w:tcPr>
            <w:tcW w:w="7546" w:type="dxa"/>
            <w:shd w:val="clear" w:color="auto" w:fill="F2F2F2"/>
            <w:noWrap w:val="0"/>
            <w:vAlign w:val="center"/>
          </w:tcPr>
          <w:p>
            <w:pPr>
              <w:spacing w:line="360" w:lineRule="auto"/>
              <w:jc w:val="left"/>
              <w:rPr>
                <w:rFonts w:hint="eastAsia" w:ascii="华文中宋" w:hAnsi="华文中宋" w:eastAsia="华文中宋" w:cs="华文中宋"/>
                <w:sz w:val="21"/>
                <w:szCs w:val="21"/>
              </w:rPr>
            </w:pPr>
            <w:r>
              <w:rPr>
                <w:rFonts w:hint="eastAsia" w:ascii="华文中宋" w:hAnsi="华文中宋" w:eastAsia="华文中宋" w:cs="华文中宋"/>
                <w:sz w:val="21"/>
                <w:szCs w:val="21"/>
              </w:rPr>
              <w:t>基础课程(总计120小时)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center"/>
          </w:tcPr>
          <w:p>
            <w:pPr>
              <w:pStyle w:val="8"/>
              <w:widowControl w:val="0"/>
              <w:numPr>
                <w:ilvl w:val="0"/>
                <w:numId w:val="2"/>
              </w:numPr>
              <w:spacing w:after="0" w:line="360" w:lineRule="auto"/>
              <w:ind w:left="606"/>
              <w:jc w:val="both"/>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英语基础课程(50小时)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jc w:val="both"/>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学术论文写作训练(50小时)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jc w:val="both"/>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工程师职业操守及素养(20小时)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F2F2F2"/>
            <w:noWrap w:val="0"/>
            <w:vAlign w:val="top"/>
          </w:tcPr>
          <w:p>
            <w:pPr>
              <w:spacing w:line="360" w:lineRule="auto"/>
              <w:jc w:val="left"/>
              <w:rPr>
                <w:rFonts w:hint="eastAsia" w:ascii="华文中宋" w:hAnsi="华文中宋" w:eastAsia="华文中宋" w:cs="华文中宋"/>
                <w:sz w:val="21"/>
                <w:szCs w:val="21"/>
              </w:rPr>
            </w:pPr>
            <w:r>
              <w:rPr>
                <w:rFonts w:hint="eastAsia" w:ascii="华文中宋" w:hAnsi="华文中宋" w:eastAsia="华文中宋" w:cs="华文中宋"/>
                <w:sz w:val="21"/>
                <w:szCs w:val="21"/>
              </w:rPr>
              <w:t>专业课程(总计120小时)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数据科学及数据可视化 (32小时)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机器学习、优化与区块链 (40小时)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人工智能、大语言模型及量子计算(48小时)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F2F2F2"/>
            <w:noWrap w:val="0"/>
            <w:vAlign w:val="top"/>
          </w:tcPr>
          <w:p>
            <w:pPr>
              <w:spacing w:line="360" w:lineRule="auto"/>
              <w:jc w:val="left"/>
              <w:rPr>
                <w:rFonts w:hint="eastAsia" w:ascii="华文中宋" w:hAnsi="华文中宋" w:eastAsia="华文中宋" w:cs="华文中宋"/>
                <w:sz w:val="21"/>
                <w:szCs w:val="21"/>
              </w:rPr>
            </w:pPr>
            <w:r>
              <w:rPr>
                <w:rFonts w:hint="eastAsia" w:ascii="华文中宋" w:hAnsi="华文中宋" w:eastAsia="华文中宋" w:cs="华文中宋"/>
                <w:sz w:val="21"/>
                <w:szCs w:val="21"/>
              </w:rPr>
              <w:t>实践课程(总计</w:t>
            </w:r>
            <w:r>
              <w:rPr>
                <w:rFonts w:hint="eastAsia" w:ascii="华文中宋" w:hAnsi="华文中宋" w:eastAsia="华文中宋" w:cs="华文中宋"/>
                <w:kern w:val="0"/>
                <w:sz w:val="21"/>
                <w:szCs w:val="21"/>
              </w:rPr>
              <w:t>60小</w:t>
            </w:r>
            <w:r>
              <w:rPr>
                <w:rFonts w:hint="eastAsia" w:ascii="华文中宋" w:hAnsi="华文中宋" w:eastAsia="华文中宋" w:cs="华文中宋"/>
                <w:sz w:val="21"/>
                <w:szCs w:val="21"/>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rPr>
                <w:rFonts w:hint="eastAsia" w:ascii="华文中宋" w:hAnsi="华文中宋" w:eastAsia="华文中宋" w:cs="华文中宋"/>
                <w:sz w:val="21"/>
                <w:szCs w:val="21"/>
              </w:rPr>
            </w:pPr>
            <w:r>
              <w:rPr>
                <w:rFonts w:hint="eastAsia" w:ascii="华文中宋" w:hAnsi="华文中宋" w:eastAsia="华文中宋" w:cs="华文中宋"/>
                <w:sz w:val="21"/>
                <w:szCs w:val="21"/>
              </w:rPr>
              <w:t>跨文化交流实践 (</w:t>
            </w:r>
            <w:r>
              <w:rPr>
                <w:rFonts w:hint="eastAsia" w:ascii="华文中宋" w:hAnsi="华文中宋" w:eastAsia="华文中宋" w:cs="华文中宋"/>
                <w:sz w:val="21"/>
                <w:szCs w:val="21"/>
                <w:lang w:eastAsia="zh-CN"/>
              </w:rPr>
              <w:t>30</w:t>
            </w:r>
            <w:r>
              <w:rPr>
                <w:rFonts w:hint="eastAsia" w:ascii="华文中宋" w:hAnsi="华文中宋" w:eastAsia="华文中宋" w:cs="华文中宋"/>
                <w:sz w:val="21"/>
                <w:szCs w:val="21"/>
              </w:rPr>
              <w:t xml:space="preserve">小时) </w:t>
            </w:r>
          </w:p>
          <w:p>
            <w:pPr>
              <w:pStyle w:val="8"/>
              <w:widowControl w:val="0"/>
              <w:numPr>
                <w:ilvl w:val="0"/>
                <w:numId w:val="3"/>
              </w:numPr>
              <w:spacing w:after="0" w:line="360" w:lineRule="auto"/>
              <w:rPr>
                <w:rFonts w:hint="eastAsia" w:ascii="华文中宋" w:hAnsi="华文中宋" w:eastAsia="华文中宋" w:cs="华文中宋"/>
                <w:sz w:val="21"/>
                <w:szCs w:val="21"/>
              </w:rPr>
            </w:pPr>
            <w:r>
              <w:rPr>
                <w:rFonts w:hint="eastAsia" w:ascii="华文中宋" w:hAnsi="华文中宋" w:eastAsia="华文中宋" w:cs="华文中宋"/>
                <w:sz w:val="21"/>
                <w:szCs w:val="21"/>
              </w:rPr>
              <w:t>Buddy Program学伴计划配对</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多伦多大学在校学生设计团队交流</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多伦多大学工程社团交流</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多伦多大学指定相关活动</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多伦多大学创新孵化系统</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工程行业问题解决workshop(工作坊)</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了解欧美工程就业市场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5" w:type="dxa"/>
            <w:bottom w:w="0" w:type="dxa"/>
            <w:right w:w="115" w:type="dxa"/>
          </w:tblCellMar>
        </w:tblPrEx>
        <w:trPr>
          <w:trHeight w:val="20" w:hRule="atLeast"/>
        </w:trPr>
        <w:tc>
          <w:tcPr>
            <w:tcW w:w="7546" w:type="dxa"/>
            <w:shd w:val="clear" w:color="auto" w:fill="auto"/>
            <w:noWrap w:val="0"/>
            <w:vAlign w:val="top"/>
          </w:tcPr>
          <w:p>
            <w:pPr>
              <w:pStyle w:val="8"/>
              <w:widowControl w:val="0"/>
              <w:numPr>
                <w:ilvl w:val="0"/>
                <w:numId w:val="2"/>
              </w:numPr>
              <w:spacing w:after="0" w:line="360" w:lineRule="auto"/>
              <w:ind w:left="606"/>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工程领导力与创新 (30小时)</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工程创新企业参访</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工程企业职场精英交流讲座</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Mentor Program 导师计划配对</w:t>
            </w:r>
          </w:p>
          <w:p>
            <w:pPr>
              <w:pStyle w:val="8"/>
              <w:widowControl w:val="0"/>
              <w:numPr>
                <w:ilvl w:val="0"/>
                <w:numId w:val="3"/>
              </w:numPr>
              <w:spacing w:after="0" w:line="360" w:lineRule="auto"/>
              <w:rPr>
                <w:rFonts w:hint="eastAsia" w:ascii="华文中宋" w:hAnsi="华文中宋" w:eastAsia="华文中宋" w:cs="华文中宋"/>
                <w:sz w:val="21"/>
                <w:szCs w:val="21"/>
                <w:lang w:eastAsia="zh-CN"/>
              </w:rPr>
            </w:pPr>
            <w:r>
              <w:rPr>
                <w:rFonts w:hint="eastAsia" w:ascii="华文中宋" w:hAnsi="华文中宋" w:eastAsia="华文中宋" w:cs="华文中宋"/>
                <w:sz w:val="21"/>
                <w:szCs w:val="21"/>
                <w:lang w:eastAsia="zh-CN"/>
              </w:rPr>
              <w:t>工程行业问题解决workshop(工作坊)</w:t>
            </w:r>
          </w:p>
        </w:tc>
      </w:tr>
    </w:tbl>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default" w:ascii="微软雅黑" w:hAnsi="微软雅黑" w:eastAsia="微软雅黑" w:cs="微软雅黑"/>
          <w:color w:val="000000"/>
          <w:kern w:val="0"/>
          <w:sz w:val="24"/>
          <w:szCs w:val="24"/>
          <w:lang w:val="en-US" w:eastAsia="zh-CN" w:bidi="ar"/>
        </w:rPr>
      </w:pPr>
      <w:r>
        <w:rPr>
          <w:rFonts w:hint="eastAsia" w:ascii="华文中宋" w:hAnsi="华文中宋" w:eastAsia="华文中宋" w:cs="华文中宋"/>
          <w:color w:val="000000"/>
          <w:kern w:val="0"/>
          <w:sz w:val="22"/>
          <w:szCs w:val="22"/>
          <w:lang w:val="en-US" w:eastAsia="zh-CN" w:bidi="ar"/>
        </w:rPr>
        <w:t xml:space="preserve">- </w:t>
      </w:r>
      <w:r>
        <w:rPr>
          <w:rFonts w:hint="eastAsia" w:ascii="华文中宋" w:hAnsi="华文中宋" w:eastAsia="华文中宋" w:cs="华文中宋"/>
          <w:color w:val="000000"/>
          <w:kern w:val="0"/>
          <w:sz w:val="24"/>
          <w:szCs w:val="24"/>
          <w:lang w:val="en-US" w:eastAsia="zh-CN" w:bidi="ar"/>
        </w:rPr>
        <w:t>多大将为学生提供Buddy Program学伴计划，学伴来自多伦多大学计算机，工程和数据科学等专业；还将为学生提供Mentor Program导师计划，为学生匹配成功专业人士为行业导师。</w:t>
      </w:r>
    </w:p>
    <w:p>
      <w:pPr>
        <w:keepNext w:val="0"/>
        <w:keepLines w:val="0"/>
        <w:pageBreakBefore w:val="0"/>
        <w:widowControl/>
        <w:numPr>
          <w:ilvl w:val="0"/>
          <w:numId w:val="4"/>
        </w:numPr>
        <w:suppressLineNumbers w:val="0"/>
        <w:kinsoku/>
        <w:wordWrap/>
        <w:overflowPunct/>
        <w:topLinePunct w:val="0"/>
        <w:autoSpaceDE/>
        <w:autoSpaceDN/>
        <w:bidi w:val="0"/>
        <w:adjustRightInd/>
        <w:snapToGrid/>
        <w:ind w:left="420" w:leftChars="0" w:hanging="420" w:firstLine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课程评分体系参考</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作业 15%</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期中考试 20%</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小组项目作业 30%</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最终课题报告及汇报演讲 35%</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学生顺利结业后，将获得多伦多大学项目结业证书，学习记录成绩评估单及多伦多大学大数据AI领域教授推荐信。项目结业证书，学习记录及教授推荐信见附件。</w:t>
      </w:r>
    </w:p>
    <w:p>
      <w:pPr>
        <w:keepNext w:val="0"/>
        <w:keepLines w:val="0"/>
        <w:widowControl/>
        <w:numPr>
          <w:ilvl w:val="0"/>
          <w:numId w:val="0"/>
        </w:numPr>
        <w:suppressLineNumbers w:val="0"/>
        <w:ind w:leftChars="0"/>
        <w:jc w:val="left"/>
        <w:rPr>
          <w:rFonts w:hint="eastAsia" w:ascii="华文中宋" w:hAnsi="华文中宋" w:eastAsia="华文中宋" w:cs="华文中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color w:val="000000"/>
          <w:kern w:val="0"/>
          <w:sz w:val="24"/>
          <w:szCs w:val="24"/>
          <w:lang w:val="en-US" w:eastAsia="zh-CN" w:bidi="ar"/>
        </w:rPr>
        <w:t>四、项目计划</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2"/>
          <w:szCs w:val="22"/>
          <w:lang w:val="en-US" w:eastAsia="zh-CN" w:bidi="ar"/>
        </w:rPr>
        <w:t xml:space="preserve">1. </w:t>
      </w:r>
      <w:r>
        <w:rPr>
          <w:rFonts w:hint="eastAsia" w:ascii="华文中宋" w:hAnsi="华文中宋" w:eastAsia="华文中宋" w:cs="华文中宋"/>
          <w:color w:val="000000"/>
          <w:kern w:val="0"/>
          <w:sz w:val="24"/>
          <w:szCs w:val="24"/>
          <w:lang w:val="en-US" w:eastAsia="zh-CN" w:bidi="ar"/>
        </w:rPr>
        <w:t>参加对象：在读二年级、三年级本科生；</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xml:space="preserve">2. 时间建议： </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xml:space="preserve">2024年4月：了解多大项目情况；准备有关英语成绩； </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2024 年4-5月：递交项目申请材料及系统报名；申请录取通知书；缴纳有关费用；签署项目三方协议</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2024年6-8月：准备护照、签证等手续</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2024年9月：赴加拿大求学</w:t>
      </w:r>
    </w:p>
    <w:p>
      <w:pPr>
        <w:keepNext w:val="0"/>
        <w:keepLines w:val="0"/>
        <w:pageBreakBefore w:val="0"/>
        <w:widowControl/>
        <w:numPr>
          <w:ilvl w:val="0"/>
          <w:numId w:val="5"/>
        </w:numPr>
        <w:suppressLineNumbers w:val="0"/>
        <w:kinsoku/>
        <w:wordWrap/>
        <w:overflowPunct/>
        <w:topLinePunct w:val="0"/>
        <w:autoSpaceDE/>
        <w:autoSpaceDN/>
        <w:bidi w:val="0"/>
        <w:adjustRightInd/>
        <w:snapToGrid/>
        <w:ind w:leftChars="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报名面试考核及其他：参加该项目的学生，在通过初选并缴纳项目费用后，将获得外方的录取邀请函及注册信息。</w:t>
      </w:r>
    </w:p>
    <w:p>
      <w:pPr>
        <w:keepNext w:val="0"/>
        <w:keepLines w:val="0"/>
        <w:widowControl/>
        <w:numPr>
          <w:ilvl w:val="0"/>
          <w:numId w:val="0"/>
        </w:numPr>
        <w:suppressLineNumbers w:val="0"/>
        <w:ind w:leftChars="0"/>
        <w:jc w:val="left"/>
        <w:rPr>
          <w:rFonts w:hint="eastAsia" w:ascii="微软雅黑" w:hAnsi="微软雅黑" w:eastAsia="微软雅黑" w:cs="微软雅黑"/>
          <w:color w:val="000000"/>
          <w:kern w:val="0"/>
          <w:sz w:val="22"/>
          <w:szCs w:val="22"/>
          <w:lang w:val="en-US" w:eastAsia="zh-CN" w:bidi="ar"/>
        </w:rPr>
      </w:pPr>
    </w:p>
    <w:p>
      <w:pPr>
        <w:keepNext w:val="0"/>
        <w:keepLines w:val="0"/>
        <w:pageBreakBefore w:val="0"/>
        <w:widowControl/>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color w:val="000000"/>
          <w:kern w:val="0"/>
          <w:sz w:val="24"/>
          <w:szCs w:val="24"/>
          <w:lang w:val="en-US" w:eastAsia="zh-CN" w:bidi="ar"/>
        </w:rPr>
        <w:t>五、项目入学要求</w:t>
      </w:r>
    </w:p>
    <w:p>
      <w:pPr>
        <w:keepNext w:val="0"/>
        <w:keepLines w:val="0"/>
        <w:pageBreakBefore w:val="0"/>
        <w:widowControl/>
        <w:numPr>
          <w:ilvl w:val="0"/>
          <w:numId w:val="0"/>
        </w:numPr>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val="0"/>
          <w:bCs/>
          <w:kern w:val="0"/>
          <w:sz w:val="24"/>
          <w:szCs w:val="24"/>
          <w:vertAlign w:val="baseline"/>
          <w:lang w:val="en-US" w:eastAsia="zh-CN"/>
        </w:rPr>
      </w:pPr>
      <w:r>
        <w:rPr>
          <w:rFonts w:hint="eastAsia" w:ascii="华文中宋" w:hAnsi="华文中宋" w:eastAsia="华文中宋" w:cs="华文中宋"/>
          <w:color w:val="000000"/>
          <w:kern w:val="0"/>
          <w:sz w:val="24"/>
          <w:szCs w:val="24"/>
          <w:lang w:val="en-US" w:eastAsia="zh-CN" w:bidi="ar"/>
        </w:rPr>
        <w:t>1. 语言要求：</w:t>
      </w:r>
      <w:r>
        <w:rPr>
          <w:rFonts w:hint="eastAsia" w:ascii="华文中宋" w:hAnsi="华文中宋" w:eastAsia="华文中宋" w:cs="华文中宋"/>
          <w:b w:val="0"/>
          <w:bCs/>
          <w:kern w:val="0"/>
          <w:sz w:val="24"/>
          <w:szCs w:val="24"/>
          <w:vertAlign w:val="baseline"/>
          <w:lang w:val="en-US" w:eastAsia="zh-CN"/>
        </w:rPr>
        <w:t>大学英语四级500以上，或大学英语六级450以上，如未达要求，可参加面试，根据面试情况为准</w:t>
      </w:r>
    </w:p>
    <w:p>
      <w:pPr>
        <w:keepNext w:val="0"/>
        <w:keepLines w:val="0"/>
        <w:pageBreakBefore w:val="0"/>
        <w:widowControl/>
        <w:numPr>
          <w:ilvl w:val="0"/>
          <w:numId w:val="0"/>
        </w:numPr>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val="0"/>
          <w:bCs/>
          <w:kern w:val="0"/>
          <w:sz w:val="24"/>
          <w:szCs w:val="24"/>
          <w:vertAlign w:val="baseline"/>
          <w:lang w:val="en-US" w:eastAsia="zh-CN"/>
        </w:rPr>
      </w:pPr>
      <w:r>
        <w:rPr>
          <w:rFonts w:hint="eastAsia" w:ascii="华文中宋" w:hAnsi="华文中宋" w:eastAsia="华文中宋" w:cs="华文中宋"/>
          <w:b w:val="0"/>
          <w:bCs/>
          <w:kern w:val="0"/>
          <w:sz w:val="24"/>
          <w:szCs w:val="24"/>
          <w:vertAlign w:val="baseline"/>
          <w:lang w:val="en-US" w:eastAsia="zh-CN"/>
        </w:rPr>
        <w:t>2. 学术要求：成绩折算成百分制，平均分80%或以上</w:t>
      </w:r>
    </w:p>
    <w:p>
      <w:pPr>
        <w:keepNext w:val="0"/>
        <w:keepLines w:val="0"/>
        <w:pageBreakBefore w:val="0"/>
        <w:widowControl/>
        <w:numPr>
          <w:ilvl w:val="0"/>
          <w:numId w:val="0"/>
        </w:numPr>
        <w:suppressLineNumbers w:val="0"/>
        <w:kinsoku/>
        <w:wordWrap/>
        <w:overflowPunct/>
        <w:topLinePunct w:val="0"/>
        <w:autoSpaceDE/>
        <w:autoSpaceDN/>
        <w:bidi w:val="0"/>
        <w:adjustRightInd/>
        <w:snapToGrid/>
        <w:jc w:val="both"/>
        <w:textAlignment w:val="auto"/>
        <w:rPr>
          <w:rFonts w:hint="eastAsia" w:ascii="宋体" w:hAnsi="宋体" w:eastAsia="宋体" w:cs="宋体"/>
          <w:b/>
          <w:bCs/>
          <w:color w:val="000000"/>
          <w:kern w:val="0"/>
          <w:sz w:val="24"/>
          <w:szCs w:val="24"/>
          <w:lang w:val="en-US" w:eastAsia="zh-CN" w:bidi="ar"/>
        </w:rPr>
      </w:pPr>
    </w:p>
    <w:p>
      <w:pPr>
        <w:keepNext w:val="0"/>
        <w:keepLines w:val="0"/>
        <w:pageBreakBefore w:val="0"/>
        <w:widowControl/>
        <w:numPr>
          <w:ilvl w:val="0"/>
          <w:numId w:val="6"/>
        </w:numPr>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color w:val="000000"/>
          <w:kern w:val="0"/>
          <w:sz w:val="24"/>
          <w:szCs w:val="24"/>
          <w:lang w:val="en-US" w:eastAsia="zh-CN" w:bidi="ar"/>
        </w:rPr>
        <w:t>项目费用说明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 xml:space="preserve">双方为长期合作伙伴关系，参加此项目的学生将获得学费15%的奖学金，该奖学金无需学生额外申请，直接在总学费中减免，并颁发“RiskLab多伦多大学——xx大学人工智能卓越工程师本科生海外交流学习项目奖学金”证书。  </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优秀学生将有机会获得多伦多大学及菲尔兹数学科学研究院全球精英储备计划奖学金及多伦多大学教授推荐信（项目期间表现良好的学生）。参与此项目的经历将为学生申请多伦多大学研究生打下基础。</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奖学金直接用于抵扣部分学费，入选学生在获得奖学金基础上，净支付学费为人民币68000元/人，此费用含学费，保险（保额50万人民币），学杂费及接送机服务。</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3个月住宿总费用为人民币31,142元/人左右, 寄宿家庭含早晚餐，学生需要和该机构签订住宿协议并服从寄宿家庭的住宿管理。午餐及日常交通费用学生自理。</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color w:val="000000"/>
          <w:kern w:val="0"/>
          <w:sz w:val="24"/>
          <w:szCs w:val="24"/>
          <w:lang w:val="en-US" w:eastAsia="zh-CN" w:bidi="ar"/>
        </w:rPr>
      </w:pPr>
      <w:r>
        <w:rPr>
          <w:rFonts w:hint="eastAsia" w:ascii="华文中宋" w:hAnsi="华文中宋" w:eastAsia="华文中宋" w:cs="华文中宋"/>
          <w:color w:val="000000"/>
          <w:kern w:val="0"/>
          <w:sz w:val="24"/>
          <w:szCs w:val="24"/>
          <w:lang w:val="en-US" w:eastAsia="zh-CN" w:bidi="ar"/>
        </w:rPr>
        <w:t>以上费用不含：</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sz w:val="24"/>
          <w:szCs w:val="24"/>
          <w:lang w:val="en-US" w:eastAsia="zh-CN"/>
        </w:rPr>
      </w:pPr>
      <w:r>
        <w:rPr>
          <w:rFonts w:hint="eastAsia" w:ascii="华文中宋" w:hAnsi="华文中宋" w:eastAsia="华文中宋" w:cs="华文中宋"/>
          <w:sz w:val="24"/>
          <w:szCs w:val="24"/>
          <w:lang w:val="en-US" w:eastAsia="zh-CN"/>
        </w:rPr>
        <w:t>- 因甲方学生个人原因提前回国所产生的损失及费用。</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sz w:val="24"/>
          <w:szCs w:val="24"/>
          <w:lang w:val="en-US" w:eastAsia="zh-CN"/>
        </w:rPr>
      </w:pPr>
      <w:r>
        <w:rPr>
          <w:rFonts w:hint="eastAsia" w:ascii="华文中宋" w:hAnsi="华文中宋" w:eastAsia="华文中宋" w:cs="华文中宋"/>
          <w:sz w:val="24"/>
          <w:szCs w:val="24"/>
          <w:lang w:val="en-US" w:eastAsia="zh-CN"/>
        </w:rPr>
        <w:t>- 境内境外个人消费（包括但不限于：交通工具上的非免费餐饮费、行李超重费；如有在境外期间产生当地境内段行李托运费；酒店住宿期间的洗衣费、其它个人花费；电话费；寻回个人遗失物品所产生的相关费用；损坏境外学校、住宿家庭、酒店、营地设施损坏赔偿费用等）。</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sz w:val="24"/>
          <w:szCs w:val="24"/>
          <w:lang w:val="en-US" w:eastAsia="zh-CN"/>
        </w:rPr>
      </w:pPr>
      <w:r>
        <w:rPr>
          <w:rFonts w:hint="eastAsia" w:ascii="华文中宋" w:hAnsi="华文中宋" w:eastAsia="华文中宋" w:cs="华文中宋"/>
          <w:sz w:val="24"/>
          <w:szCs w:val="24"/>
          <w:lang w:val="en-US" w:eastAsia="zh-CN"/>
        </w:rPr>
        <w:t>- 因不可抗力造成的额外增加费用，例如：航班延误所产生的住宿费、天气原因造成的行程受阻等费用。</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sz w:val="24"/>
          <w:szCs w:val="24"/>
          <w:lang w:val="en-US" w:eastAsia="zh-CN"/>
        </w:rPr>
      </w:pPr>
      <w:r>
        <w:rPr>
          <w:rFonts w:hint="eastAsia" w:ascii="华文中宋" w:hAnsi="华文中宋" w:eastAsia="华文中宋" w:cs="华文中宋"/>
          <w:sz w:val="24"/>
          <w:szCs w:val="24"/>
          <w:lang w:val="en-US" w:eastAsia="zh-CN"/>
        </w:rPr>
        <w:t>- 以上条款包含内容中未涉及的其它费用。</w:t>
      </w:r>
    </w:p>
    <w:p>
      <w:pPr>
        <w:keepNext w:val="0"/>
        <w:keepLines w:val="0"/>
        <w:pageBreakBefore w:val="0"/>
        <w:widowControl/>
        <w:numPr>
          <w:ilvl w:val="0"/>
          <w:numId w:val="0"/>
        </w:numPr>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sz w:val="24"/>
          <w:szCs w:val="24"/>
          <w:lang w:val="en-US" w:eastAsia="zh-CN"/>
        </w:rPr>
      </w:pPr>
    </w:p>
    <w:p>
      <w:pPr>
        <w:keepNext w:val="0"/>
        <w:keepLines w:val="0"/>
        <w:pageBreakBefore w:val="0"/>
        <w:widowControl/>
        <w:numPr>
          <w:ilvl w:val="0"/>
          <w:numId w:val="0"/>
        </w:numPr>
        <w:suppressLineNumbers w:val="0"/>
        <w:kinsoku/>
        <w:wordWrap/>
        <w:overflowPunct/>
        <w:topLinePunct w:val="0"/>
        <w:autoSpaceDE/>
        <w:autoSpaceDN/>
        <w:bidi w:val="0"/>
        <w:adjustRightInd/>
        <w:snapToGrid/>
        <w:jc w:val="both"/>
        <w:textAlignment w:val="auto"/>
        <w:rPr>
          <w:rFonts w:hint="eastAsia" w:ascii="华文中宋" w:hAnsi="华文中宋" w:eastAsia="华文中宋" w:cs="华文中宋"/>
          <w:b/>
          <w:bCs/>
          <w:color w:val="000000"/>
          <w:kern w:val="0"/>
          <w:sz w:val="24"/>
          <w:szCs w:val="24"/>
          <w:lang w:val="en-US" w:eastAsia="zh-CN" w:bidi="ar"/>
        </w:rPr>
      </w:pPr>
      <w:r>
        <w:rPr>
          <w:rFonts w:hint="eastAsia" w:ascii="华文中宋" w:hAnsi="华文中宋" w:eastAsia="华文中宋" w:cs="华文中宋"/>
          <w:b/>
          <w:bCs/>
          <w:sz w:val="24"/>
          <w:szCs w:val="24"/>
          <w:lang w:val="en-US" w:eastAsia="zh-CN"/>
        </w:rPr>
        <w:t>七、</w:t>
      </w:r>
      <w:r>
        <w:rPr>
          <w:rFonts w:hint="eastAsia" w:ascii="华文中宋" w:hAnsi="华文中宋" w:eastAsia="华文中宋" w:cs="华文中宋"/>
          <w:b/>
          <w:bCs/>
          <w:color w:val="000000"/>
          <w:kern w:val="0"/>
          <w:sz w:val="24"/>
          <w:szCs w:val="24"/>
          <w:lang w:val="en-US" w:eastAsia="zh-CN" w:bidi="ar"/>
        </w:rPr>
        <w:t>联系方式</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b w:val="0"/>
          <w:bCs/>
          <w:kern w:val="0"/>
          <w:sz w:val="24"/>
          <w:szCs w:val="24"/>
          <w:vertAlign w:val="baseline"/>
          <w:lang w:val="en-US" w:eastAsia="zh-CN"/>
        </w:rPr>
      </w:pPr>
      <w:r>
        <w:rPr>
          <w:rFonts w:hint="eastAsia" w:ascii="华文中宋" w:hAnsi="华文中宋" w:eastAsia="华文中宋" w:cs="华文中宋"/>
          <w:sz w:val="24"/>
          <w:szCs w:val="24"/>
          <w:lang w:val="en-US" w:eastAsia="zh-CN"/>
        </w:rPr>
        <w:t>多伦多大学RiskLab中心负责人：</w:t>
      </w:r>
      <w:r>
        <w:rPr>
          <w:rFonts w:hint="eastAsia" w:ascii="华文中宋" w:hAnsi="华文中宋" w:eastAsia="华文中宋" w:cs="华文中宋"/>
          <w:b w:val="0"/>
          <w:bCs/>
          <w:kern w:val="0"/>
          <w:sz w:val="24"/>
          <w:szCs w:val="24"/>
          <w:vertAlign w:val="baseline"/>
          <w:lang w:val="en-US" w:eastAsia="zh-CN"/>
        </w:rPr>
        <w:t xml:space="preserve">王老师  </w:t>
      </w:r>
    </w:p>
    <w:p>
      <w:pPr>
        <w:keepNext w:val="0"/>
        <w:keepLines w:val="0"/>
        <w:pageBreakBefore w:val="0"/>
        <w:widowControl/>
        <w:numPr>
          <w:ilvl w:val="0"/>
          <w:numId w:val="0"/>
        </w:numPr>
        <w:suppressLineNumbers w:val="0"/>
        <w:kinsoku/>
        <w:wordWrap/>
        <w:overflowPunct/>
        <w:topLinePunct w:val="0"/>
        <w:autoSpaceDE/>
        <w:autoSpaceDN/>
        <w:bidi w:val="0"/>
        <w:adjustRightInd/>
        <w:snapToGrid/>
        <w:ind w:leftChars="0" w:firstLine="480" w:firstLineChars="200"/>
        <w:jc w:val="both"/>
        <w:textAlignment w:val="auto"/>
        <w:rPr>
          <w:rFonts w:hint="eastAsia" w:ascii="华文中宋" w:hAnsi="华文中宋" w:eastAsia="华文中宋" w:cs="华文中宋"/>
          <w:b w:val="0"/>
          <w:bCs/>
          <w:kern w:val="0"/>
          <w:sz w:val="24"/>
          <w:szCs w:val="24"/>
          <w:vertAlign w:val="baseline"/>
          <w:lang w:val="en-US" w:eastAsia="zh-CN"/>
        </w:rPr>
      </w:pPr>
      <w:r>
        <w:rPr>
          <w:rFonts w:hint="eastAsia" w:ascii="华文中宋" w:hAnsi="华文中宋" w:eastAsia="华文中宋" w:cs="华文中宋"/>
          <w:b w:val="0"/>
          <w:bCs/>
          <w:kern w:val="0"/>
          <w:sz w:val="24"/>
          <w:szCs w:val="24"/>
          <w:vertAlign w:val="baseline"/>
          <w:lang w:val="en-US" w:eastAsia="zh-CN"/>
        </w:rPr>
        <w:t>邮箱：</w:t>
      </w:r>
      <w:r>
        <w:rPr>
          <w:rFonts w:hint="eastAsia" w:ascii="华文中宋" w:hAnsi="华文中宋" w:eastAsia="华文中宋" w:cs="华文中宋"/>
          <w:b w:val="0"/>
          <w:bCs/>
          <w:kern w:val="0"/>
          <w:sz w:val="24"/>
          <w:szCs w:val="24"/>
          <w:vertAlign w:val="baseline"/>
          <w:lang w:val="en-US" w:eastAsia="zh-CN"/>
        </w:rPr>
        <w:fldChar w:fldCharType="begin"/>
      </w:r>
      <w:r>
        <w:rPr>
          <w:rFonts w:hint="eastAsia" w:ascii="华文中宋" w:hAnsi="华文中宋" w:eastAsia="华文中宋" w:cs="华文中宋"/>
          <w:b w:val="0"/>
          <w:bCs/>
          <w:kern w:val="0"/>
          <w:sz w:val="24"/>
          <w:szCs w:val="24"/>
          <w:vertAlign w:val="baseline"/>
          <w:lang w:val="en-US" w:eastAsia="zh-CN"/>
        </w:rPr>
        <w:instrText xml:space="preserve"> HYPERLINK "mailto:chuting.wang@utoronto.ca" </w:instrText>
      </w:r>
      <w:r>
        <w:rPr>
          <w:rFonts w:hint="eastAsia" w:ascii="华文中宋" w:hAnsi="华文中宋" w:eastAsia="华文中宋" w:cs="华文中宋"/>
          <w:b w:val="0"/>
          <w:bCs/>
          <w:kern w:val="0"/>
          <w:sz w:val="24"/>
          <w:szCs w:val="24"/>
          <w:vertAlign w:val="baseline"/>
          <w:lang w:val="en-US" w:eastAsia="zh-CN"/>
        </w:rPr>
        <w:fldChar w:fldCharType="separate"/>
      </w:r>
      <w:r>
        <w:rPr>
          <w:rStyle w:val="7"/>
          <w:rFonts w:hint="eastAsia" w:ascii="华文中宋" w:hAnsi="华文中宋" w:eastAsia="华文中宋" w:cs="华文中宋"/>
          <w:b w:val="0"/>
          <w:bCs/>
          <w:kern w:val="0"/>
          <w:sz w:val="24"/>
          <w:szCs w:val="24"/>
          <w:vertAlign w:val="baseline"/>
          <w:lang w:val="en-US" w:eastAsia="zh-CN"/>
        </w:rPr>
        <w:t>chuting.wang@utoronto.ca</w:t>
      </w:r>
      <w:r>
        <w:rPr>
          <w:rFonts w:hint="eastAsia" w:ascii="华文中宋" w:hAnsi="华文中宋" w:eastAsia="华文中宋" w:cs="华文中宋"/>
          <w:b w:val="0"/>
          <w:bCs/>
          <w:kern w:val="0"/>
          <w:sz w:val="24"/>
          <w:szCs w:val="24"/>
          <w:vertAlign w:val="baseline"/>
          <w:lang w:val="en-US" w:eastAsia="zh-CN"/>
        </w:rPr>
        <w:fldChar w:fldCharType="end"/>
      </w:r>
      <w:r>
        <w:rPr>
          <w:rFonts w:hint="eastAsia" w:ascii="华文中宋" w:hAnsi="华文中宋" w:eastAsia="华文中宋" w:cs="华文中宋"/>
          <w:b w:val="0"/>
          <w:bCs/>
          <w:kern w:val="0"/>
          <w:sz w:val="24"/>
          <w:szCs w:val="24"/>
          <w:vertAlign w:val="baseline"/>
          <w:lang w:val="en-US" w:eastAsia="zh-CN"/>
        </w:rPr>
        <w:t xml:space="preserve">        微信：ivy1729</w:t>
      </w:r>
    </w:p>
    <w:p>
      <w:pPr>
        <w:keepNext w:val="0"/>
        <w:keepLines w:val="0"/>
        <w:widowControl/>
        <w:numPr>
          <w:ilvl w:val="0"/>
          <w:numId w:val="0"/>
        </w:numPr>
        <w:suppressLineNumbers w:val="0"/>
        <w:ind w:leftChars="0"/>
        <w:jc w:val="left"/>
        <w:rPr>
          <w:rFonts w:hint="eastAsia" w:ascii="华文中宋" w:hAnsi="华文中宋" w:eastAsia="华文中宋" w:cs="华文中宋"/>
          <w:b w:val="0"/>
          <w:bCs/>
          <w:kern w:val="0"/>
          <w:sz w:val="24"/>
          <w:szCs w:val="24"/>
          <w:vertAlign w:val="baseline"/>
          <w:lang w:val="en-US" w:eastAsia="zh-CN"/>
        </w:rPr>
      </w:pPr>
    </w:p>
    <w:p>
      <w:pPr>
        <w:widowControl/>
        <w:spacing w:after="122" w:line="374" w:lineRule="atLeast"/>
        <w:jc w:val="left"/>
        <w:rPr>
          <w:rFonts w:hint="eastAsia" w:ascii="华文中宋" w:hAnsi="华文中宋" w:eastAsia="华文中宋" w:cs="华文中宋"/>
          <w:b/>
          <w:bCs/>
          <w:color w:val="auto"/>
          <w:kern w:val="0"/>
          <w:sz w:val="22"/>
          <w:szCs w:val="22"/>
          <w:lang w:val="en-CA"/>
        </w:rPr>
      </w:pPr>
      <w:r>
        <w:rPr>
          <w:rFonts w:hint="eastAsia" w:ascii="华文中宋" w:hAnsi="华文中宋" w:eastAsia="华文中宋" w:cs="华文中宋"/>
          <w:b/>
          <w:bCs/>
          <w:color w:val="auto"/>
          <w:kern w:val="0"/>
          <w:sz w:val="22"/>
          <w:szCs w:val="22"/>
          <w:lang w:val="en-CA"/>
        </w:rPr>
        <w:t>附件(1)</w:t>
      </w:r>
    </w:p>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优秀学术研究表现</w:t>
      </w:r>
    </w:p>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多伦多大学的学术研究走在世界领导位置，研究成果当中的证据为本知识在全球极具影响力，并为多伦多大学吸纳了不少研究经费。多伦多大学教学人员的获奖数量亦一直远胜其他加拿大学府</w:t>
      </w:r>
    </w:p>
    <w:tbl>
      <w:tblPr>
        <w:tblStyle w:val="4"/>
        <w:tblW w:w="5000" w:type="pct"/>
        <w:jc w:val="center"/>
        <w:tblLayout w:type="autofit"/>
        <w:tblCellMar>
          <w:top w:w="0" w:type="dxa"/>
          <w:left w:w="108" w:type="dxa"/>
          <w:bottom w:w="0" w:type="dxa"/>
          <w:right w:w="108" w:type="dxa"/>
        </w:tblCellMar>
      </w:tblPr>
      <w:tblGrid>
        <w:gridCol w:w="2840"/>
        <w:gridCol w:w="2840"/>
        <w:gridCol w:w="2842"/>
      </w:tblGrid>
      <w:tr>
        <w:tblPrEx>
          <w:tblCellMar>
            <w:top w:w="0" w:type="dxa"/>
            <w:left w:w="108" w:type="dxa"/>
            <w:bottom w:w="0" w:type="dxa"/>
            <w:right w:w="108" w:type="dxa"/>
          </w:tblCellMar>
        </w:tblPrEx>
        <w:trPr>
          <w:jc w:val="center"/>
        </w:trPr>
        <w:tc>
          <w:tcPr>
            <w:tcW w:w="1666" w:type="pct"/>
            <w:tcBorders>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bookmarkStart w:id="0" w:name="_Hlk20432912"/>
            <w:r>
              <w:rPr>
                <w:rFonts w:hint="eastAsia" w:ascii="华文中宋" w:hAnsi="华文中宋" w:eastAsia="华文中宋" w:cs="华文中宋"/>
                <w:b w:val="0"/>
                <w:bCs w:val="0"/>
                <w:color w:val="auto"/>
                <w:kern w:val="0"/>
                <w:sz w:val="22"/>
                <w:szCs w:val="22"/>
                <w:lang w:val="en-CA"/>
              </w:rPr>
              <w:t>排名</w:t>
            </w:r>
            <w:bookmarkEnd w:id="0"/>
          </w:p>
        </w:tc>
        <w:tc>
          <w:tcPr>
            <w:tcW w:w="1666" w:type="pct"/>
            <w:tcBorders>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被引用次数</w:t>
            </w:r>
          </w:p>
        </w:tc>
        <w:tc>
          <w:tcPr>
            <w:tcW w:w="1667" w:type="pct"/>
            <w:tcBorders>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出版次数</w:t>
            </w:r>
          </w:p>
        </w:tc>
      </w:tr>
      <w:tr>
        <w:tblPrEx>
          <w:tblCellMar>
            <w:top w:w="0" w:type="dxa"/>
            <w:left w:w="108" w:type="dxa"/>
            <w:bottom w:w="0" w:type="dxa"/>
            <w:right w:w="108" w:type="dxa"/>
          </w:tblCellMar>
        </w:tblPrEx>
        <w:trPr>
          <w:jc w:val="center"/>
        </w:trPr>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1</w:t>
            </w:r>
          </w:p>
        </w:tc>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哈佛大学</w:t>
            </w:r>
          </w:p>
        </w:tc>
        <w:tc>
          <w:tcPr>
            <w:tcW w:w="1667"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哈佛大学</w:t>
            </w:r>
          </w:p>
        </w:tc>
      </w:tr>
      <w:tr>
        <w:tblPrEx>
          <w:tblCellMar>
            <w:top w:w="0" w:type="dxa"/>
            <w:left w:w="108" w:type="dxa"/>
            <w:bottom w:w="0" w:type="dxa"/>
            <w:right w:w="108" w:type="dxa"/>
          </w:tblCellMar>
        </w:tblPrEx>
        <w:trPr>
          <w:jc w:val="center"/>
        </w:trPr>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2</w:t>
            </w:r>
          </w:p>
        </w:tc>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斯坦福大学</w:t>
            </w:r>
          </w:p>
        </w:tc>
        <w:tc>
          <w:tcPr>
            <w:tcW w:w="1667"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多伦多大学</w:t>
            </w:r>
          </w:p>
        </w:tc>
      </w:tr>
      <w:tr>
        <w:tblPrEx>
          <w:tblCellMar>
            <w:top w:w="0" w:type="dxa"/>
            <w:left w:w="108" w:type="dxa"/>
            <w:bottom w:w="0" w:type="dxa"/>
            <w:right w:w="108" w:type="dxa"/>
          </w:tblCellMar>
        </w:tblPrEx>
        <w:trPr>
          <w:jc w:val="center"/>
        </w:trPr>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3</w:t>
            </w:r>
          </w:p>
        </w:tc>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多伦多大学</w:t>
            </w:r>
          </w:p>
        </w:tc>
        <w:tc>
          <w:tcPr>
            <w:tcW w:w="1667"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巴黎第六大学</w:t>
            </w:r>
          </w:p>
        </w:tc>
      </w:tr>
      <w:tr>
        <w:tblPrEx>
          <w:tblCellMar>
            <w:top w:w="0" w:type="dxa"/>
            <w:left w:w="108" w:type="dxa"/>
            <w:bottom w:w="0" w:type="dxa"/>
            <w:right w:w="108" w:type="dxa"/>
          </w:tblCellMar>
        </w:tblPrEx>
        <w:trPr>
          <w:jc w:val="center"/>
        </w:trPr>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4</w:t>
            </w:r>
          </w:p>
        </w:tc>
        <w:tc>
          <w:tcPr>
            <w:tcW w:w="1666"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麻省理工大学</w:t>
            </w:r>
          </w:p>
        </w:tc>
        <w:tc>
          <w:tcPr>
            <w:tcW w:w="1667" w:type="pct"/>
            <w:tcBorders>
              <w:top w:val="single" w:color="auto" w:sz="4" w:space="0"/>
              <w:bottom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圣保罗大学</w:t>
            </w:r>
          </w:p>
        </w:tc>
      </w:tr>
      <w:tr>
        <w:tblPrEx>
          <w:tblCellMar>
            <w:top w:w="0" w:type="dxa"/>
            <w:left w:w="108" w:type="dxa"/>
            <w:bottom w:w="0" w:type="dxa"/>
            <w:right w:w="108" w:type="dxa"/>
          </w:tblCellMar>
        </w:tblPrEx>
        <w:trPr>
          <w:jc w:val="center"/>
        </w:trPr>
        <w:tc>
          <w:tcPr>
            <w:tcW w:w="1666" w:type="pct"/>
            <w:tcBorders>
              <w:top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5</w:t>
            </w:r>
          </w:p>
        </w:tc>
        <w:tc>
          <w:tcPr>
            <w:tcW w:w="1666" w:type="pct"/>
            <w:tcBorders>
              <w:top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牛津大学</w:t>
            </w:r>
          </w:p>
        </w:tc>
        <w:tc>
          <w:tcPr>
            <w:tcW w:w="1667" w:type="pct"/>
            <w:tcBorders>
              <w:top w:val="single" w:color="auto" w:sz="4" w:space="0"/>
            </w:tcBorders>
            <w:shd w:val="clear" w:color="auto" w:fill="auto"/>
            <w:noWrap w:val="0"/>
            <w:vAlign w:val="top"/>
          </w:tcPr>
          <w:p>
            <w:pPr>
              <w:widowControl/>
              <w:spacing w:after="122" w:line="374" w:lineRule="atLeast"/>
              <w:jc w:val="left"/>
              <w:rPr>
                <w:rFonts w:hint="eastAsia" w:ascii="华文中宋" w:hAnsi="华文中宋" w:eastAsia="华文中宋" w:cs="华文中宋"/>
                <w:b w:val="0"/>
                <w:bCs w:val="0"/>
                <w:color w:val="auto"/>
                <w:kern w:val="0"/>
                <w:sz w:val="22"/>
                <w:szCs w:val="22"/>
                <w:lang w:val="en-CA"/>
              </w:rPr>
            </w:pPr>
            <w:r>
              <w:rPr>
                <w:rFonts w:hint="eastAsia" w:ascii="华文中宋" w:hAnsi="华文中宋" w:eastAsia="华文中宋" w:cs="华文中宋"/>
                <w:b w:val="0"/>
                <w:bCs w:val="0"/>
                <w:color w:val="auto"/>
                <w:kern w:val="0"/>
                <w:sz w:val="22"/>
                <w:szCs w:val="22"/>
                <w:lang w:val="en-CA"/>
              </w:rPr>
              <w:t>伦敦大学学院</w:t>
            </w:r>
          </w:p>
        </w:tc>
      </w:tr>
    </w:tbl>
    <w:p>
      <w:pPr>
        <w:widowControl/>
        <w:spacing w:after="122" w:line="374" w:lineRule="atLeast"/>
        <w:jc w:val="left"/>
        <w:rPr>
          <w:rFonts w:ascii="微软雅黑" w:hAnsi="微软雅黑" w:eastAsia="微软雅黑" w:cs="Calibri"/>
          <w:b/>
          <w:bCs/>
          <w:color w:val="auto"/>
          <w:kern w:val="0"/>
          <w:sz w:val="22"/>
          <w:szCs w:val="22"/>
          <w:lang w:val="en-CA"/>
        </w:rPr>
      </w:pPr>
    </w:p>
    <w:p>
      <w:pPr>
        <w:widowControl/>
        <w:spacing w:after="122" w:line="374" w:lineRule="atLeast"/>
        <w:jc w:val="center"/>
        <w:rPr>
          <w:rFonts w:ascii="宋体" w:hAnsi="宋体"/>
          <w:b/>
          <w:sz w:val="24"/>
        </w:rPr>
      </w:pPr>
      <w:r>
        <w:rPr>
          <w:rFonts w:ascii="宋体" w:hAnsi="宋体"/>
          <w:b/>
          <w:sz w:val="24"/>
        </w:rPr>
        <w:drawing>
          <wp:inline distT="0" distB="0" distL="114300" distR="114300">
            <wp:extent cx="3986530" cy="4300220"/>
            <wp:effectExtent l="0" t="0" r="139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rcRect l="22820" t="12238" r="35504" b="8360"/>
                    <a:stretch>
                      <a:fillRect/>
                    </a:stretch>
                  </pic:blipFill>
                  <pic:spPr>
                    <a:xfrm>
                      <a:off x="0" y="0"/>
                      <a:ext cx="3986530" cy="4300220"/>
                    </a:xfrm>
                    <a:prstGeom prst="rect">
                      <a:avLst/>
                    </a:prstGeom>
                    <a:noFill/>
                    <a:ln>
                      <a:noFill/>
                    </a:ln>
                  </pic:spPr>
                </pic:pic>
              </a:graphicData>
            </a:graphic>
          </wp:inline>
        </w:drawing>
      </w:r>
    </w:p>
    <w:p>
      <w:pPr>
        <w:widowControl/>
        <w:rPr>
          <w:rFonts w:hint="eastAsia" w:ascii="华文中宋" w:hAnsi="华文中宋" w:eastAsia="华文中宋" w:cs="华文中宋"/>
          <w:b/>
          <w:bCs/>
          <w:color w:val="auto"/>
          <w:kern w:val="0"/>
          <w:sz w:val="24"/>
          <w:lang w:val="en-CA"/>
        </w:rPr>
      </w:pPr>
      <w:r>
        <w:rPr>
          <w:rFonts w:hint="eastAsia" w:ascii="华文中宋" w:hAnsi="华文中宋" w:eastAsia="华文中宋" w:cs="华文中宋"/>
          <w:b/>
          <w:bCs/>
          <w:color w:val="auto"/>
          <w:kern w:val="0"/>
          <w:sz w:val="24"/>
        </w:rPr>
        <w:t>2019USNEWS世界大学排名</w:t>
      </w:r>
    </w:p>
    <w:tbl>
      <w:tblPr>
        <w:tblStyle w:val="4"/>
        <w:tblW w:w="0" w:type="auto"/>
        <w:tblInd w:w="0" w:type="dxa"/>
        <w:tblLayout w:type="fixed"/>
        <w:tblCellMar>
          <w:top w:w="0" w:type="dxa"/>
          <w:left w:w="108" w:type="dxa"/>
          <w:bottom w:w="0" w:type="dxa"/>
          <w:right w:w="108" w:type="dxa"/>
        </w:tblCellMar>
      </w:tblPr>
      <w:tblGrid>
        <w:gridCol w:w="1190"/>
        <w:gridCol w:w="3003"/>
        <w:gridCol w:w="4329"/>
      </w:tblGrid>
      <w:tr>
        <w:tblPrEx>
          <w:tblCellMar>
            <w:top w:w="0" w:type="dxa"/>
            <w:left w:w="108" w:type="dxa"/>
            <w:bottom w:w="0" w:type="dxa"/>
            <w:right w:w="108" w:type="dxa"/>
          </w:tblCellMar>
        </w:tblPrEx>
        <w:tc>
          <w:tcPr>
            <w:tcW w:w="1190"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排名</w:t>
            </w:r>
          </w:p>
        </w:tc>
        <w:tc>
          <w:tcPr>
            <w:tcW w:w="3003"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c>
          <w:tcPr>
            <w:tcW w:w="4329"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r>
      <w:tr>
        <w:tblPrEx>
          <w:tblCellMar>
            <w:top w:w="0" w:type="dxa"/>
            <w:left w:w="108" w:type="dxa"/>
            <w:bottom w:w="0" w:type="dxa"/>
            <w:right w:w="108" w:type="dxa"/>
          </w:tblCellMar>
        </w:tblPrEx>
        <w:trPr>
          <w:trHeight w:val="564" w:hRule="atLeast"/>
        </w:trPr>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20</w:t>
            </w:r>
          </w:p>
        </w:tc>
        <w:tc>
          <w:tcPr>
            <w:tcW w:w="3003" w:type="dxa"/>
            <w:tcBorders>
              <w:top w:val="single" w:color="auto" w:sz="4" w:space="0"/>
              <w:bottom w:val="single" w:color="auto" w:sz="4" w:space="0"/>
            </w:tcBorders>
            <w:shd w:val="clear" w:color="auto" w:fill="auto"/>
            <w:noWrap w:val="0"/>
            <w:vAlign w:val="center"/>
          </w:tcPr>
          <w:p>
            <w:pPr>
              <w:jc w:val="center"/>
              <w:rPr>
                <w:rFonts w:hint="eastAsia"/>
                <w:color w:val="auto"/>
              </w:rPr>
            </w:pPr>
            <w:r>
              <w:rPr>
                <w:rStyle w:val="7"/>
                <w:rFonts w:hint="eastAsia" w:ascii="微软雅黑" w:hAnsi="微软雅黑" w:eastAsia="微软雅黑" w:cs="宋体"/>
                <w:color w:val="auto"/>
                <w:kern w:val="0"/>
                <w:sz w:val="18"/>
                <w:szCs w:val="18"/>
                <w:u w:val="none"/>
              </w:rPr>
              <w:t>多伦多大学</w:t>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Toronto</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29</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"http://www.qianmu.org/%E8%8B%B1%E5%B1%9E%E5%93%A5%E4%BC%A6%E6%AF%94%E4%BA%9A%E5%A4%A7%E5%AD%A6"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英属哥伦比亚大学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British Columbia</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43</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"http://www.qianmu.org/%E9%BA%A6%E5%90%89%E5%B0%94%E5%A4%A7%E5%AD%A6"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麦吉尔大学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McGill University</w:t>
            </w:r>
          </w:p>
        </w:tc>
      </w:tr>
    </w:tbl>
    <w:p>
      <w:pPr>
        <w:widowControl/>
        <w:rPr>
          <w:rFonts w:ascii="微软雅黑" w:hAnsi="微软雅黑" w:eastAsia="微软雅黑" w:cs="宋体"/>
          <w:b/>
          <w:bCs/>
          <w:color w:val="auto"/>
          <w:kern w:val="0"/>
          <w:sz w:val="24"/>
        </w:rPr>
      </w:pPr>
    </w:p>
    <w:p>
      <w:pPr>
        <w:widowControl/>
        <w:rPr>
          <w:rFonts w:hint="eastAsia" w:ascii="华文中宋" w:hAnsi="华文中宋" w:eastAsia="华文中宋" w:cs="华文中宋"/>
          <w:b/>
          <w:bCs/>
          <w:color w:val="auto"/>
          <w:kern w:val="0"/>
          <w:sz w:val="24"/>
        </w:rPr>
      </w:pPr>
      <w:r>
        <w:rPr>
          <w:rFonts w:hint="eastAsia" w:ascii="华文中宋" w:hAnsi="华文中宋" w:eastAsia="华文中宋" w:cs="华文中宋"/>
          <w:b/>
          <w:bCs/>
          <w:color w:val="auto"/>
          <w:kern w:val="0"/>
          <w:sz w:val="24"/>
        </w:rPr>
        <w:t>2020泰晤士高等教育世界大学排名</w:t>
      </w:r>
    </w:p>
    <w:tbl>
      <w:tblPr>
        <w:tblStyle w:val="4"/>
        <w:tblW w:w="0" w:type="auto"/>
        <w:tblInd w:w="0" w:type="dxa"/>
        <w:tblLayout w:type="fixed"/>
        <w:tblCellMar>
          <w:top w:w="0" w:type="dxa"/>
          <w:left w:w="108" w:type="dxa"/>
          <w:bottom w:w="0" w:type="dxa"/>
          <w:right w:w="108" w:type="dxa"/>
        </w:tblCellMar>
      </w:tblPr>
      <w:tblGrid>
        <w:gridCol w:w="1190"/>
        <w:gridCol w:w="3003"/>
        <w:gridCol w:w="4329"/>
      </w:tblGrid>
      <w:tr>
        <w:tblPrEx>
          <w:tblCellMar>
            <w:top w:w="0" w:type="dxa"/>
            <w:left w:w="108" w:type="dxa"/>
            <w:bottom w:w="0" w:type="dxa"/>
            <w:right w:w="108" w:type="dxa"/>
          </w:tblCellMar>
        </w:tblPrEx>
        <w:tc>
          <w:tcPr>
            <w:tcW w:w="1190"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bookmarkStart w:id="1" w:name="_Hlk20433520"/>
            <w:r>
              <w:rPr>
                <w:rFonts w:hint="eastAsia" w:ascii="微软雅黑" w:hAnsi="微软雅黑" w:eastAsia="微软雅黑" w:cs="Calibri"/>
                <w:b/>
                <w:bCs/>
                <w:color w:val="auto"/>
                <w:kern w:val="0"/>
                <w:sz w:val="18"/>
                <w:szCs w:val="18"/>
                <w:lang w:val="en-CA"/>
              </w:rPr>
              <w:t>排名</w:t>
            </w:r>
          </w:p>
        </w:tc>
        <w:tc>
          <w:tcPr>
            <w:tcW w:w="3003"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c>
          <w:tcPr>
            <w:tcW w:w="4329"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r>
      <w:tr>
        <w:tblPrEx>
          <w:tblCellMar>
            <w:top w:w="0" w:type="dxa"/>
            <w:left w:w="108" w:type="dxa"/>
            <w:bottom w:w="0" w:type="dxa"/>
            <w:right w:w="108" w:type="dxa"/>
          </w:tblCellMar>
        </w:tblPrEx>
        <w:trPr>
          <w:trHeight w:val="564" w:hRule="atLeast"/>
        </w:trPr>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18</w:t>
            </w:r>
          </w:p>
        </w:tc>
        <w:tc>
          <w:tcPr>
            <w:tcW w:w="3003" w:type="dxa"/>
            <w:tcBorders>
              <w:top w:val="single" w:color="auto" w:sz="4" w:space="0"/>
              <w:bottom w:val="single" w:color="auto" w:sz="4" w:space="0"/>
            </w:tcBorders>
            <w:shd w:val="clear" w:color="auto" w:fill="auto"/>
            <w:noWrap w:val="0"/>
            <w:vAlign w:val="center"/>
          </w:tcPr>
          <w:p>
            <w:pPr>
              <w:jc w:val="center"/>
              <w:rPr>
                <w:rFonts w:hint="eastAsia"/>
                <w:color w:val="auto"/>
              </w:rPr>
            </w:pPr>
            <w:r>
              <w:rPr>
                <w:rStyle w:val="7"/>
                <w:rFonts w:hint="eastAsia" w:ascii="微软雅黑" w:hAnsi="微软雅黑" w:eastAsia="微软雅黑" w:cs="宋体"/>
                <w:color w:val="auto"/>
                <w:kern w:val="0"/>
                <w:sz w:val="18"/>
                <w:szCs w:val="18"/>
                <w:u w:val="none"/>
              </w:rPr>
              <w:t>多伦多大学</w:t>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Toronto</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34</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"http://www.qianmu.org/%E8%8B%B1%E5%B1%9E%E5%93%A5%E4%BC%A6%E6%AF%94%E4%BA%9A%E5%A4%A7%E5%AD%A6"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英属哥伦比亚大学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British Columbia</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42</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"http://www.qianmu.org/%E9%BA%A6%E5%90%89%E5%B0%94%E5%A4%A7%E5%AD%A6"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麦吉尔大学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McGill University</w:t>
            </w:r>
          </w:p>
        </w:tc>
      </w:tr>
      <w:bookmarkEnd w:id="1"/>
    </w:tbl>
    <w:p>
      <w:pPr>
        <w:widowControl/>
        <w:rPr>
          <w:rFonts w:ascii="微软雅黑" w:hAnsi="微软雅黑" w:eastAsia="微软雅黑" w:cs="宋体"/>
          <w:b/>
          <w:bCs/>
          <w:color w:val="auto"/>
          <w:kern w:val="0"/>
          <w:sz w:val="24"/>
        </w:rPr>
      </w:pPr>
    </w:p>
    <w:p>
      <w:pPr>
        <w:widowControl/>
        <w:rPr>
          <w:rFonts w:hint="eastAsia" w:ascii="华文中宋" w:hAnsi="华文中宋" w:eastAsia="华文中宋" w:cs="华文中宋"/>
          <w:b/>
          <w:bCs/>
          <w:color w:val="auto"/>
          <w:kern w:val="0"/>
          <w:sz w:val="24"/>
        </w:rPr>
      </w:pPr>
      <w:r>
        <w:rPr>
          <w:rFonts w:hint="eastAsia" w:ascii="华文中宋" w:hAnsi="华文中宋" w:eastAsia="华文中宋" w:cs="华文中宋"/>
          <w:b/>
          <w:bCs/>
          <w:color w:val="auto"/>
          <w:kern w:val="0"/>
          <w:sz w:val="24"/>
        </w:rPr>
        <w:t>2019QS世界大学排名</w:t>
      </w:r>
    </w:p>
    <w:tbl>
      <w:tblPr>
        <w:tblStyle w:val="4"/>
        <w:tblW w:w="0" w:type="auto"/>
        <w:tblInd w:w="0" w:type="dxa"/>
        <w:tblLayout w:type="fixed"/>
        <w:tblCellMar>
          <w:top w:w="0" w:type="dxa"/>
          <w:left w:w="108" w:type="dxa"/>
          <w:bottom w:w="0" w:type="dxa"/>
          <w:right w:w="108" w:type="dxa"/>
        </w:tblCellMar>
      </w:tblPr>
      <w:tblGrid>
        <w:gridCol w:w="1190"/>
        <w:gridCol w:w="3003"/>
        <w:gridCol w:w="4329"/>
      </w:tblGrid>
      <w:tr>
        <w:tblPrEx>
          <w:tblCellMar>
            <w:top w:w="0" w:type="dxa"/>
            <w:left w:w="108" w:type="dxa"/>
            <w:bottom w:w="0" w:type="dxa"/>
            <w:right w:w="108" w:type="dxa"/>
          </w:tblCellMar>
        </w:tblPrEx>
        <w:tc>
          <w:tcPr>
            <w:tcW w:w="1190"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排名</w:t>
            </w:r>
          </w:p>
        </w:tc>
        <w:tc>
          <w:tcPr>
            <w:tcW w:w="3003"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c>
          <w:tcPr>
            <w:tcW w:w="4329"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r>
      <w:tr>
        <w:tblPrEx>
          <w:tblCellMar>
            <w:top w:w="0" w:type="dxa"/>
            <w:left w:w="108" w:type="dxa"/>
            <w:bottom w:w="0" w:type="dxa"/>
            <w:right w:w="108" w:type="dxa"/>
          </w:tblCellMar>
        </w:tblPrEx>
        <w:trPr>
          <w:trHeight w:val="564" w:hRule="atLeast"/>
        </w:trPr>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28</w:t>
            </w:r>
          </w:p>
        </w:tc>
        <w:tc>
          <w:tcPr>
            <w:tcW w:w="3003" w:type="dxa"/>
            <w:tcBorders>
              <w:top w:val="single" w:color="auto" w:sz="4" w:space="0"/>
              <w:bottom w:val="single" w:color="auto" w:sz="4" w:space="0"/>
            </w:tcBorders>
            <w:shd w:val="clear" w:color="auto" w:fill="auto"/>
            <w:noWrap w:val="0"/>
            <w:vAlign w:val="center"/>
          </w:tcPr>
          <w:p>
            <w:pPr>
              <w:jc w:val="center"/>
              <w:rPr>
                <w:rFonts w:hint="eastAsia"/>
                <w:color w:val="auto"/>
              </w:rPr>
            </w:pPr>
            <w:r>
              <w:rPr>
                <w:rStyle w:val="7"/>
                <w:rFonts w:hint="eastAsia" w:ascii="微软雅黑" w:hAnsi="微软雅黑" w:eastAsia="微软雅黑" w:cs="宋体"/>
                <w:color w:val="auto"/>
                <w:kern w:val="0"/>
                <w:sz w:val="18"/>
                <w:szCs w:val="18"/>
                <w:u w:val="none"/>
              </w:rPr>
              <w:t>多伦多大学</w:t>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Toronto</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33</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"http://www.qianmu.org/%E9%BA%A6%E5%90%89%E5%B0%94%E5%A4%A7%E5%AD%A6"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麦吉尔大学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McGill University</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47</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"http://www.qianmu.org/%E8%8B%B1%E5%B1%9E%E5%93%A5%E4%BC%A6%E6%AF%94%E4%BA%9A%E5%A4%A7%E5%AD%A6"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英属哥伦比亚大学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British Columbia</w:t>
            </w:r>
          </w:p>
        </w:tc>
      </w:tr>
    </w:tbl>
    <w:p>
      <w:pPr>
        <w:widowControl/>
        <w:spacing w:after="122" w:line="374" w:lineRule="atLeast"/>
        <w:jc w:val="both"/>
        <w:rPr>
          <w:rFonts w:ascii="宋体" w:hAnsi="宋体"/>
          <w:b/>
          <w:color w:val="auto"/>
          <w:sz w:val="24"/>
        </w:rPr>
      </w:pPr>
    </w:p>
    <w:p>
      <w:pPr>
        <w:widowControl/>
        <w:spacing w:after="122" w:line="374" w:lineRule="atLeast"/>
        <w:jc w:val="both"/>
        <w:rPr>
          <w:rFonts w:ascii="宋体" w:hAnsi="宋体"/>
          <w:b/>
          <w:color w:val="auto"/>
          <w:sz w:val="24"/>
        </w:rPr>
      </w:pPr>
    </w:p>
    <w:p>
      <w:pPr>
        <w:widowControl/>
        <w:rPr>
          <w:rFonts w:hint="eastAsia" w:ascii="华文中宋" w:hAnsi="华文中宋" w:eastAsia="华文中宋" w:cs="华文中宋"/>
          <w:b/>
          <w:bCs/>
          <w:color w:val="auto"/>
          <w:kern w:val="0"/>
          <w:sz w:val="24"/>
        </w:rPr>
      </w:pPr>
      <w:r>
        <w:rPr>
          <w:rFonts w:hint="eastAsia" w:ascii="华文中宋" w:hAnsi="华文中宋" w:eastAsia="华文中宋" w:cs="华文中宋"/>
          <w:b/>
          <w:bCs/>
          <w:color w:val="auto"/>
          <w:kern w:val="0"/>
          <w:sz w:val="24"/>
        </w:rPr>
        <w:t>CWUR - World University Rankings 2019-2020</w:t>
      </w:r>
    </w:p>
    <w:tbl>
      <w:tblPr>
        <w:tblStyle w:val="4"/>
        <w:tblW w:w="0" w:type="auto"/>
        <w:tblInd w:w="0" w:type="dxa"/>
        <w:tblLayout w:type="fixed"/>
        <w:tblCellMar>
          <w:top w:w="0" w:type="dxa"/>
          <w:left w:w="108" w:type="dxa"/>
          <w:bottom w:w="0" w:type="dxa"/>
          <w:right w:w="108" w:type="dxa"/>
        </w:tblCellMar>
      </w:tblPr>
      <w:tblGrid>
        <w:gridCol w:w="1190"/>
        <w:gridCol w:w="3003"/>
        <w:gridCol w:w="4329"/>
      </w:tblGrid>
      <w:tr>
        <w:tblPrEx>
          <w:tblCellMar>
            <w:top w:w="0" w:type="dxa"/>
            <w:left w:w="108" w:type="dxa"/>
            <w:bottom w:w="0" w:type="dxa"/>
            <w:right w:w="108" w:type="dxa"/>
          </w:tblCellMar>
        </w:tblPrEx>
        <w:tc>
          <w:tcPr>
            <w:tcW w:w="1190"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排名</w:t>
            </w:r>
          </w:p>
        </w:tc>
        <w:tc>
          <w:tcPr>
            <w:tcW w:w="3003"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c>
          <w:tcPr>
            <w:tcW w:w="4329" w:type="dxa"/>
            <w:tcBorders>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22"/>
                <w:szCs w:val="22"/>
                <w:lang w:val="en-CA"/>
              </w:rPr>
            </w:pPr>
          </w:p>
        </w:tc>
      </w:tr>
      <w:tr>
        <w:tblPrEx>
          <w:tblCellMar>
            <w:top w:w="0" w:type="dxa"/>
            <w:left w:w="108" w:type="dxa"/>
            <w:bottom w:w="0" w:type="dxa"/>
            <w:right w:w="108" w:type="dxa"/>
          </w:tblCellMar>
        </w:tblPrEx>
        <w:trPr>
          <w:trHeight w:val="564" w:hRule="atLeast"/>
        </w:trPr>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24</w:t>
            </w:r>
          </w:p>
        </w:tc>
        <w:tc>
          <w:tcPr>
            <w:tcW w:w="3003" w:type="dxa"/>
            <w:tcBorders>
              <w:top w:val="single" w:color="auto" w:sz="4" w:space="0"/>
              <w:bottom w:val="single" w:color="auto" w:sz="4" w:space="0"/>
            </w:tcBorders>
            <w:shd w:val="clear" w:color="auto" w:fill="auto"/>
            <w:noWrap w:val="0"/>
            <w:vAlign w:val="center"/>
          </w:tcPr>
          <w:p>
            <w:pPr>
              <w:jc w:val="center"/>
              <w:rPr>
                <w:rFonts w:hint="eastAsia"/>
                <w:color w:val="auto"/>
              </w:rPr>
            </w:pPr>
            <w:r>
              <w:rPr>
                <w:rStyle w:val="7"/>
                <w:rFonts w:hint="eastAsia" w:ascii="微软雅黑" w:hAnsi="微软雅黑" w:eastAsia="微软雅黑" w:cs="宋体"/>
                <w:color w:val="auto"/>
                <w:kern w:val="0"/>
                <w:sz w:val="18"/>
                <w:szCs w:val="18"/>
                <w:u w:val="none"/>
              </w:rPr>
              <w:t>多伦多大学</w:t>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Toronto</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30</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"http://www.qianmu.org/%E9%BA%A6%E5%90%89%E5%B0%94%E5%A4%A7%E5%AD%A6"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麦吉尔大学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McGill University</w:t>
            </w:r>
          </w:p>
        </w:tc>
      </w:tr>
      <w:tr>
        <w:tblPrEx>
          <w:tblCellMar>
            <w:top w:w="0" w:type="dxa"/>
            <w:left w:w="108" w:type="dxa"/>
            <w:bottom w:w="0" w:type="dxa"/>
            <w:right w:w="108" w:type="dxa"/>
          </w:tblCellMar>
        </w:tblPrEx>
        <w:tc>
          <w:tcPr>
            <w:tcW w:w="1190" w:type="dxa"/>
            <w:tcBorders>
              <w:top w:val="single" w:color="auto" w:sz="4" w:space="0"/>
              <w:bottom w:val="single" w:color="auto" w:sz="4" w:space="0"/>
            </w:tcBorders>
            <w:shd w:val="clear" w:color="auto" w:fill="auto"/>
            <w:noWrap w:val="0"/>
            <w:vAlign w:val="center"/>
          </w:tcPr>
          <w:p>
            <w:pPr>
              <w:widowControl/>
              <w:spacing w:after="122" w:line="374" w:lineRule="atLeast"/>
              <w:jc w:val="center"/>
              <w:rPr>
                <w:rFonts w:hint="eastAsia" w:ascii="微软雅黑" w:hAnsi="微软雅黑" w:eastAsia="微软雅黑" w:cs="Calibri"/>
                <w:b/>
                <w:bCs/>
                <w:color w:val="auto"/>
                <w:kern w:val="0"/>
                <w:sz w:val="18"/>
                <w:szCs w:val="18"/>
                <w:lang w:val="en-CA"/>
              </w:rPr>
            </w:pPr>
            <w:r>
              <w:rPr>
                <w:rFonts w:hint="eastAsia" w:ascii="微软雅黑" w:hAnsi="微软雅黑" w:eastAsia="微软雅黑" w:cs="Calibri"/>
                <w:b/>
                <w:bCs/>
                <w:color w:val="auto"/>
                <w:kern w:val="0"/>
                <w:sz w:val="18"/>
                <w:szCs w:val="18"/>
                <w:lang w:val="en-CA"/>
              </w:rPr>
              <w:t>52</w:t>
            </w:r>
          </w:p>
        </w:tc>
        <w:tc>
          <w:tcPr>
            <w:tcW w:w="3003" w:type="dxa"/>
            <w:tcBorders>
              <w:top w:val="single" w:color="auto" w:sz="4" w:space="0"/>
              <w:bottom w:val="single" w:color="auto" w:sz="4" w:space="0"/>
            </w:tcBorders>
            <w:shd w:val="clear" w:color="auto" w:fill="auto"/>
            <w:noWrap w:val="0"/>
            <w:vAlign w:val="center"/>
          </w:tcPr>
          <w:p>
            <w:pPr>
              <w:widowControl/>
              <w:jc w:val="center"/>
              <w:rPr>
                <w:rFonts w:ascii="微软雅黑" w:hAnsi="微软雅黑" w:eastAsia="微软雅黑" w:cs="宋体"/>
                <w:color w:val="auto"/>
                <w:kern w:val="0"/>
                <w:sz w:val="18"/>
                <w:szCs w:val="18"/>
              </w:rPr>
            </w:pPr>
            <w:r>
              <w:rPr>
                <w:rFonts w:ascii="微软雅黑" w:hAnsi="微软雅黑" w:eastAsia="微软雅黑"/>
                <w:color w:val="auto"/>
              </w:rPr>
              <w:fldChar w:fldCharType="begin"/>
            </w:r>
            <w:r>
              <w:rPr>
                <w:rFonts w:ascii="微软雅黑" w:hAnsi="微软雅黑" w:eastAsia="微软雅黑"/>
                <w:color w:val="auto"/>
              </w:rPr>
              <w:instrText xml:space="preserve"> HYPERLINK "http://www.qianmu.org/%E8%8B%B1%E5%B1%9E%E5%93%A5%E4%BC%A6%E6%AF%94%E4%BA%9A%E5%A4%A7%E5%AD%A6" </w:instrText>
            </w:r>
            <w:r>
              <w:rPr>
                <w:rFonts w:ascii="微软雅黑" w:hAnsi="微软雅黑" w:eastAsia="微软雅黑"/>
                <w:color w:val="auto"/>
              </w:rPr>
              <w:fldChar w:fldCharType="separate"/>
            </w:r>
            <w:r>
              <w:rPr>
                <w:rStyle w:val="7"/>
                <w:rFonts w:hint="eastAsia" w:ascii="微软雅黑" w:hAnsi="微软雅黑" w:eastAsia="微软雅黑" w:cs="宋体"/>
                <w:color w:val="auto"/>
                <w:kern w:val="0"/>
                <w:sz w:val="18"/>
                <w:szCs w:val="18"/>
                <w:u w:val="none"/>
              </w:rPr>
              <w:t>英属哥伦比亚大学</w:t>
            </w:r>
            <w:r>
              <w:rPr>
                <w:rStyle w:val="7"/>
                <w:rFonts w:ascii="微软雅黑" w:hAnsi="微软雅黑" w:eastAsia="微软雅黑" w:cs="宋体"/>
                <w:color w:val="auto"/>
                <w:kern w:val="0"/>
                <w:sz w:val="18"/>
                <w:szCs w:val="18"/>
                <w:u w:val="none"/>
              </w:rPr>
              <w:fldChar w:fldCharType="end"/>
            </w:r>
          </w:p>
        </w:tc>
        <w:tc>
          <w:tcPr>
            <w:tcW w:w="4329" w:type="dxa"/>
            <w:tcBorders>
              <w:top w:val="single" w:color="auto" w:sz="4" w:space="0"/>
              <w:bottom w:val="single" w:color="auto" w:sz="4" w:space="0"/>
            </w:tcBorders>
            <w:shd w:val="clear" w:color="auto" w:fill="auto"/>
            <w:noWrap w:val="0"/>
            <w:vAlign w:val="center"/>
          </w:tcPr>
          <w:p>
            <w:pPr>
              <w:widowControl/>
              <w:jc w:val="center"/>
              <w:rPr>
                <w:rFonts w:ascii="Calibri" w:hAnsi="Calibri" w:cs="Calibri"/>
                <w:color w:val="auto"/>
                <w:kern w:val="0"/>
                <w:sz w:val="18"/>
                <w:szCs w:val="18"/>
              </w:rPr>
            </w:pPr>
            <w:r>
              <w:rPr>
                <w:rFonts w:ascii="Calibri" w:hAnsi="Calibri" w:cs="Calibri"/>
                <w:color w:val="auto"/>
                <w:kern w:val="0"/>
                <w:sz w:val="18"/>
                <w:szCs w:val="18"/>
              </w:rPr>
              <w:t>University of British Columbia</w:t>
            </w:r>
          </w:p>
        </w:tc>
      </w:tr>
    </w:tbl>
    <w:p>
      <w:pPr>
        <w:widowControl/>
        <w:spacing w:after="122" w:line="374" w:lineRule="atLeast"/>
        <w:rPr>
          <w:rFonts w:ascii="宋体" w:hAnsi="宋体"/>
          <w:b/>
          <w:sz w:val="24"/>
        </w:rPr>
      </w:pPr>
    </w:p>
    <w:p>
      <w:pPr>
        <w:ind w:left="840" w:hanging="360"/>
        <w:rPr>
          <w:rFonts w:hint="eastAsia" w:ascii="华文中宋" w:hAnsi="华文中宋" w:eastAsia="华文中宋" w:cs="华文中宋"/>
          <w:b/>
          <w:bCs/>
          <w:sz w:val="22"/>
          <w:szCs w:val="22"/>
        </w:rPr>
      </w:pPr>
      <w:r>
        <w:rPr>
          <w:rFonts w:hint="eastAsia" w:ascii="华文中宋" w:hAnsi="华文中宋" w:eastAsia="华文中宋" w:cs="华文中宋"/>
          <w:b/>
          <w:bCs/>
          <w:sz w:val="22"/>
          <w:szCs w:val="22"/>
        </w:rPr>
        <w:t>附件(2)</w:t>
      </w:r>
    </w:p>
    <w:p>
      <w:pPr>
        <w:ind w:left="840" w:hanging="360"/>
        <w:rPr>
          <w:rFonts w:hint="eastAsia" w:ascii="华文中宋" w:hAnsi="华文中宋" w:eastAsia="华文中宋" w:cs="华文中宋"/>
          <w:b/>
          <w:bCs/>
          <w:sz w:val="22"/>
          <w:szCs w:val="22"/>
        </w:rPr>
      </w:pPr>
      <w:r>
        <w:rPr>
          <w:rFonts w:hint="eastAsia" w:ascii="华文中宋" w:hAnsi="华文中宋" w:eastAsia="华文中宋" w:cs="华文中宋"/>
          <w:b/>
          <w:bCs/>
          <w:sz w:val="22"/>
          <w:szCs w:val="22"/>
        </w:rPr>
        <w:t>成建制课程授课师资且不仅限于以下：</w:t>
      </w:r>
    </w:p>
    <w:p>
      <w:pPr>
        <w:widowControl/>
        <w:spacing w:after="122" w:line="374" w:lineRule="atLeast"/>
        <w:ind w:left="1614" w:hanging="1134"/>
        <w:jc w:val="left"/>
        <w:rPr>
          <w:rFonts w:ascii="Calibri" w:hAnsi="Calibri" w:eastAsia="等线" w:cs="Calibri"/>
          <w:color w:val="262626"/>
          <w:kern w:val="0"/>
          <w:sz w:val="22"/>
          <w:szCs w:val="22"/>
          <w:lang w:val="en-CA"/>
        </w:rPr>
      </w:pPr>
      <w:r>
        <w:rPr>
          <w:rFonts w:ascii="Calibri" w:hAnsi="Calibri" w:eastAsia="等线" w:cs="Calibri"/>
          <w:b/>
          <w:bCs/>
          <w:i/>
          <w:iCs/>
          <w:color w:val="262626"/>
          <w:kern w:val="0"/>
          <w:sz w:val="22"/>
          <w:szCs w:val="22"/>
          <w:lang w:val="en-CA"/>
        </w:rPr>
        <w:t>Luis Seco</w:t>
      </w:r>
      <w:r>
        <w:rPr>
          <w:rFonts w:ascii="Calibri" w:hAnsi="Calibri" w:eastAsia="等线" w:cs="Calibri"/>
          <w:color w:val="262626"/>
          <w:kern w:val="0"/>
          <w:sz w:val="22"/>
          <w:szCs w:val="22"/>
          <w:lang w:val="en-CA"/>
        </w:rPr>
        <w:t>：</w:t>
      </w:r>
    </w:p>
    <w:p>
      <w:pPr>
        <w:widowControl/>
        <w:spacing w:after="122" w:line="374" w:lineRule="atLeast"/>
        <w:ind w:left="480"/>
      </w:pPr>
      <w:r>
        <w:fldChar w:fldCharType="begin"/>
      </w:r>
      <w:r>
        <w:instrText xml:space="preserve"> HYPERLINK "http://www.risklab.ca/seco/" </w:instrText>
      </w:r>
      <w:r>
        <w:fldChar w:fldCharType="separate"/>
      </w:r>
      <w:r>
        <w:rPr>
          <w:rStyle w:val="7"/>
        </w:rPr>
        <w:t>http://www.risklab.ca/seco/</w:t>
      </w:r>
      <w:r>
        <w:fldChar w:fldCharType="end"/>
      </w:r>
    </w:p>
    <w:p>
      <w:pPr>
        <w:widowControl/>
        <w:spacing w:after="122" w:line="374" w:lineRule="atLeast"/>
        <w:ind w:left="480"/>
        <w:rPr>
          <w:rFonts w:ascii="等线" w:hAnsi="等线" w:eastAsia="等线" w:cs="Calibri"/>
          <w:color w:val="262626"/>
          <w:kern w:val="0"/>
          <w:sz w:val="22"/>
          <w:szCs w:val="22"/>
          <w:lang w:val="en-CA"/>
        </w:rPr>
      </w:pPr>
      <w:r>
        <w:fldChar w:fldCharType="begin"/>
      </w:r>
      <w:r>
        <w:instrText xml:space="preserve"> HYPERLINK "https://www.math.toronto.edu/cms/people/faculty/seco-luis/" </w:instrText>
      </w:r>
      <w:r>
        <w:fldChar w:fldCharType="separate"/>
      </w:r>
      <w:r>
        <w:rPr>
          <w:rStyle w:val="7"/>
        </w:rPr>
        <w:t>https://www.math.toronto.edu/cms/people/faculty/seco-luis/</w:t>
      </w:r>
      <w:r>
        <w:fldChar w:fldCharType="end"/>
      </w:r>
    </w:p>
    <w:p>
      <w:pPr>
        <w:widowControl/>
        <w:spacing w:after="122" w:line="374" w:lineRule="atLeast"/>
        <w:ind w:left="480"/>
        <w:rPr>
          <w:rFonts w:ascii="等线" w:hAnsi="等线" w:eastAsia="等线" w:cs="Calibri"/>
          <w:color w:val="262626"/>
          <w:kern w:val="0"/>
          <w:sz w:val="22"/>
          <w:szCs w:val="22"/>
          <w:lang w:val="en-CA"/>
        </w:rPr>
      </w:pPr>
      <w:r>
        <w:rPr>
          <w:rFonts w:hint="eastAsia" w:ascii="等线" w:hAnsi="等线" w:eastAsia="等线" w:cs="Calibri"/>
          <w:color w:val="262626"/>
          <w:kern w:val="0"/>
          <w:sz w:val="22"/>
          <w:szCs w:val="22"/>
          <w:lang w:val="en-CA"/>
        </w:rPr>
        <w:t>多伦多大学数学系教授，多伦多大学金融工程项目负责人，多伦多大学RiskLab风险管理研究室主任 ，菲尔兹研究所量化分析及建模中心主任。研究方向：量化分析及AI建模</w:t>
      </w:r>
    </w:p>
    <w:p>
      <w:pPr>
        <w:widowControl/>
        <w:spacing w:after="122" w:line="374" w:lineRule="atLeast"/>
        <w:ind w:left="1614" w:hanging="1134"/>
        <w:jc w:val="left"/>
        <w:rPr>
          <w:rFonts w:ascii="Calibri" w:hAnsi="Calibri" w:eastAsia="等线" w:cs="Calibri"/>
          <w:b/>
          <w:bCs/>
          <w:i/>
          <w:iCs/>
          <w:color w:val="262626"/>
          <w:kern w:val="0"/>
          <w:sz w:val="22"/>
          <w:szCs w:val="22"/>
        </w:rPr>
      </w:pPr>
      <w:r>
        <w:rPr>
          <w:rFonts w:ascii="Calibri" w:hAnsi="Calibri" w:eastAsia="等线" w:cs="Calibri"/>
          <w:b/>
          <w:bCs/>
          <w:i/>
          <w:iCs/>
          <w:color w:val="262626"/>
          <w:kern w:val="0"/>
          <w:sz w:val="22"/>
          <w:szCs w:val="22"/>
        </w:rPr>
        <w:t>Roy Kwon:</w:t>
      </w:r>
    </w:p>
    <w:p>
      <w:pPr>
        <w:widowControl/>
        <w:spacing w:after="122" w:line="374" w:lineRule="atLeast"/>
        <w:ind w:left="1614" w:hanging="1134"/>
        <w:jc w:val="left"/>
      </w:pPr>
      <w:r>
        <w:fldChar w:fldCharType="begin"/>
      </w:r>
      <w:r>
        <w:instrText xml:space="preserve"> HYPERLINK "https://www.mie.utoronto.ca/faculty_staff/rkwon/" </w:instrText>
      </w:r>
      <w:r>
        <w:fldChar w:fldCharType="separate"/>
      </w:r>
      <w:r>
        <w:rPr>
          <w:rStyle w:val="7"/>
        </w:rPr>
        <w:t>https://www.mie.utoronto.ca/faculty_staff/rkwon/</w:t>
      </w:r>
      <w:r>
        <w:fldChar w:fldCharType="end"/>
      </w:r>
    </w:p>
    <w:p>
      <w:pPr>
        <w:widowControl/>
        <w:spacing w:after="122" w:line="374" w:lineRule="atLeast"/>
        <w:ind w:left="1614" w:hanging="1134"/>
        <w:jc w:val="left"/>
        <w:rPr>
          <w:rFonts w:ascii="Calibri" w:hAnsi="Calibri" w:eastAsia="等线" w:cs="Calibri"/>
          <w:b/>
          <w:bCs/>
          <w:i/>
          <w:iCs/>
          <w:color w:val="262626"/>
          <w:kern w:val="0"/>
          <w:sz w:val="22"/>
          <w:szCs w:val="22"/>
        </w:rPr>
      </w:pPr>
      <w:r>
        <w:fldChar w:fldCharType="begin"/>
      </w:r>
      <w:r>
        <w:instrText xml:space="preserve"> HYPERLINK "https://engsci.utoronto.ca/explore_our_program/majors/maths_stats_and_finance/" </w:instrText>
      </w:r>
      <w:r>
        <w:fldChar w:fldCharType="separate"/>
      </w:r>
      <w:r>
        <w:rPr>
          <w:rStyle w:val="7"/>
        </w:rPr>
        <w:t>https://engsci.utoronto.ca/explore_our_program/majors/maths_stats_and_finance/</w:t>
      </w:r>
      <w:r>
        <w:fldChar w:fldCharType="end"/>
      </w:r>
    </w:p>
    <w:p>
      <w:pPr>
        <w:widowControl/>
        <w:spacing w:after="122" w:line="374" w:lineRule="atLeast"/>
        <w:ind w:left="480"/>
        <w:jc w:val="left"/>
        <w:rPr>
          <w:rFonts w:ascii="等线" w:hAnsi="等线" w:eastAsia="等线" w:cs="Calibri"/>
          <w:color w:val="262626"/>
          <w:kern w:val="0"/>
          <w:sz w:val="22"/>
          <w:szCs w:val="22"/>
          <w:lang w:val="en-CA"/>
        </w:rPr>
      </w:pPr>
      <w:r>
        <w:rPr>
          <w:rFonts w:hint="eastAsia" w:ascii="等线" w:hAnsi="等线" w:eastAsia="等线" w:cs="Calibri"/>
          <w:color w:val="262626"/>
          <w:kern w:val="0"/>
          <w:sz w:val="22"/>
          <w:szCs w:val="22"/>
        </w:rPr>
        <w:t>多伦多大学应用科学与工程学部(院</w:t>
      </w:r>
      <w:r>
        <w:rPr>
          <w:rFonts w:ascii="等线" w:hAnsi="等线" w:eastAsia="等线" w:cs="Calibri"/>
          <w:color w:val="262626"/>
          <w:kern w:val="0"/>
          <w:sz w:val="22"/>
          <w:szCs w:val="22"/>
        </w:rPr>
        <w:t>)</w:t>
      </w:r>
      <w:r>
        <w:rPr>
          <w:rFonts w:hint="eastAsia" w:ascii="等线" w:hAnsi="等线" w:eastAsia="等线" w:cs="Calibri"/>
          <w:color w:val="262626"/>
          <w:kern w:val="0"/>
          <w:sz w:val="22"/>
          <w:szCs w:val="22"/>
        </w:rPr>
        <w:t>工业工程教授，多伦多大学</w:t>
      </w:r>
      <w:r>
        <w:rPr>
          <w:rFonts w:hint="eastAsia" w:ascii="等线" w:hAnsi="等线" w:eastAsia="等线" w:cs="Calibri"/>
          <w:color w:val="262626"/>
          <w:kern w:val="0"/>
          <w:sz w:val="22"/>
          <w:szCs w:val="22"/>
          <w:lang w:val="en-CA"/>
        </w:rPr>
        <w:t>工程科学系-工程数学、统计和金融系主任。研究方向：大数据优化法</w:t>
      </w:r>
    </w:p>
    <w:p>
      <w:pPr>
        <w:widowControl/>
        <w:spacing w:after="122" w:line="374" w:lineRule="atLeast"/>
        <w:ind w:left="480"/>
        <w:jc w:val="left"/>
        <w:rPr>
          <w:rFonts w:ascii="Calibri" w:hAnsi="Calibri" w:eastAsia="等线" w:cs="Calibri"/>
          <w:b/>
          <w:bCs/>
          <w:i/>
          <w:iCs/>
          <w:color w:val="262626"/>
          <w:kern w:val="0"/>
          <w:sz w:val="22"/>
          <w:szCs w:val="22"/>
          <w:lang w:val="en-CA"/>
        </w:rPr>
      </w:pPr>
      <w:r>
        <w:rPr>
          <w:rFonts w:ascii="Calibri" w:hAnsi="Calibri" w:eastAsia="等线" w:cs="Calibri"/>
          <w:b/>
          <w:bCs/>
          <w:i/>
          <w:iCs/>
          <w:color w:val="262626"/>
          <w:kern w:val="0"/>
          <w:sz w:val="22"/>
          <w:szCs w:val="22"/>
          <w:lang w:val="en-CA"/>
        </w:rPr>
        <w:t>Radu Craiu：</w:t>
      </w:r>
    </w:p>
    <w:p>
      <w:pPr>
        <w:widowControl/>
        <w:spacing w:after="122" w:line="374" w:lineRule="atLeast"/>
        <w:ind w:left="480"/>
        <w:jc w:val="left"/>
        <w:rPr>
          <w:rFonts w:hint="eastAsia" w:ascii="Calibri" w:hAnsi="Calibri" w:eastAsia="等线" w:cs="Calibri"/>
          <w:color w:val="262626"/>
          <w:kern w:val="0"/>
          <w:sz w:val="22"/>
          <w:szCs w:val="22"/>
          <w:lang w:val="en-CA"/>
        </w:rPr>
      </w:pPr>
      <w:r>
        <w:fldChar w:fldCharType="begin"/>
      </w:r>
      <w:r>
        <w:instrText xml:space="preserve"> HYPERLINK "https://www.statistics.utoronto.ca/people/directories/all-faculty/radu-craiu" </w:instrText>
      </w:r>
      <w:r>
        <w:fldChar w:fldCharType="separate"/>
      </w:r>
      <w:r>
        <w:rPr>
          <w:rStyle w:val="7"/>
        </w:rPr>
        <w:t>https://www.statistics.utoronto.ca/people/directories/all-faculty/radu-craiu</w:t>
      </w:r>
      <w:r>
        <w:fldChar w:fldCharType="end"/>
      </w:r>
    </w:p>
    <w:p>
      <w:pPr>
        <w:widowControl/>
        <w:spacing w:after="122" w:line="374" w:lineRule="atLeast"/>
        <w:ind w:left="480"/>
        <w:jc w:val="left"/>
        <w:rPr>
          <w:rFonts w:ascii="等线" w:hAnsi="等线" w:eastAsia="等线" w:cs="Calibri"/>
          <w:color w:val="262626"/>
          <w:kern w:val="0"/>
          <w:sz w:val="22"/>
          <w:szCs w:val="22"/>
          <w:lang w:val="en-CA"/>
        </w:rPr>
      </w:pPr>
      <w:r>
        <w:rPr>
          <w:rFonts w:hint="eastAsia" w:ascii="等线" w:hAnsi="等线" w:eastAsia="等线" w:cs="Calibri"/>
          <w:color w:val="262626"/>
          <w:kern w:val="0"/>
          <w:sz w:val="22"/>
          <w:szCs w:val="22"/>
          <w:lang w:val="en-CA"/>
        </w:rPr>
        <w:t>多伦多大学统计科学教授，多伦多大学统计系主任。研究方向：大数据科学</w:t>
      </w:r>
    </w:p>
    <w:p>
      <w:pPr>
        <w:widowControl/>
        <w:spacing w:after="122" w:line="374" w:lineRule="atLeast"/>
        <w:ind w:left="2323" w:hanging="1843"/>
        <w:jc w:val="left"/>
        <w:rPr>
          <w:rFonts w:ascii="Calibri" w:hAnsi="Calibri" w:eastAsia="等线" w:cs="Calibri"/>
          <w:b/>
          <w:bCs/>
          <w:i/>
          <w:iCs/>
          <w:color w:val="262626"/>
          <w:kern w:val="0"/>
          <w:sz w:val="22"/>
          <w:szCs w:val="22"/>
          <w:lang w:val="en-CA"/>
        </w:rPr>
      </w:pPr>
      <w:r>
        <w:rPr>
          <w:rFonts w:ascii="Calibri" w:hAnsi="Calibri" w:eastAsia="等线" w:cs="Calibri"/>
          <w:b/>
          <w:bCs/>
          <w:i/>
          <w:iCs/>
          <w:color w:val="262626"/>
          <w:kern w:val="0"/>
          <w:sz w:val="22"/>
          <w:szCs w:val="22"/>
          <w:lang w:val="en-CA"/>
        </w:rPr>
        <w:t>Kenneth Jackson：</w:t>
      </w:r>
    </w:p>
    <w:p>
      <w:pPr>
        <w:widowControl/>
        <w:spacing w:after="122" w:line="374" w:lineRule="atLeast"/>
        <w:ind w:left="2323" w:hanging="1843"/>
        <w:jc w:val="left"/>
        <w:rPr>
          <w:rFonts w:hint="eastAsia" w:ascii="Calibri" w:hAnsi="Calibri" w:eastAsia="等线" w:cs="Calibri"/>
          <w:b/>
          <w:bCs/>
          <w:i/>
          <w:iCs/>
          <w:color w:val="262626"/>
          <w:kern w:val="0"/>
          <w:sz w:val="22"/>
          <w:szCs w:val="22"/>
          <w:lang w:val="en-CA"/>
        </w:rPr>
      </w:pPr>
      <w:r>
        <w:fldChar w:fldCharType="begin"/>
      </w:r>
      <w:r>
        <w:instrText xml:space="preserve"> HYPERLINK "http://www.cs.toronto.edu/~krj/" </w:instrText>
      </w:r>
      <w:r>
        <w:fldChar w:fldCharType="separate"/>
      </w:r>
      <w:r>
        <w:rPr>
          <w:rStyle w:val="7"/>
        </w:rPr>
        <w:t>http://www.cs.toronto.edu/~krj/</w:t>
      </w:r>
      <w:r>
        <w:fldChar w:fldCharType="end"/>
      </w:r>
    </w:p>
    <w:p>
      <w:pPr>
        <w:widowControl/>
        <w:spacing w:after="122" w:line="374" w:lineRule="atLeast"/>
        <w:ind w:left="469" w:firstLine="11"/>
        <w:jc w:val="left"/>
        <w:rPr>
          <w:rFonts w:ascii="微软雅黑" w:hAnsi="微软雅黑" w:eastAsia="微软雅黑" w:cs="微软雅黑"/>
          <w:color w:val="545454"/>
          <w:szCs w:val="21"/>
          <w:shd w:val="clear" w:color="auto" w:fill="FFFFFF"/>
        </w:rPr>
      </w:pPr>
      <w:r>
        <w:rPr>
          <w:rFonts w:hint="eastAsia" w:ascii="等线" w:hAnsi="等线" w:eastAsia="等线" w:cs="Calibri"/>
          <w:color w:val="262626"/>
          <w:kern w:val="0"/>
          <w:sz w:val="22"/>
          <w:szCs w:val="22"/>
          <w:lang w:val="en-CA"/>
        </w:rPr>
        <w:t>多伦多大学计算机科学教授，研究方向：数值方法，分析和并行计算及</w:t>
      </w:r>
      <w:r>
        <w:rPr>
          <w:rFonts w:ascii="Arial" w:hAnsi="Arial" w:cs="Arial"/>
          <w:color w:val="545454"/>
          <w:szCs w:val="21"/>
          <w:shd w:val="clear" w:color="auto" w:fill="FFFFFF"/>
        </w:rPr>
        <w:t>基因调控网</w:t>
      </w:r>
      <w:r>
        <w:rPr>
          <w:rFonts w:hint="eastAsia" w:ascii="微软雅黑" w:hAnsi="微软雅黑" w:eastAsia="微软雅黑" w:cs="微软雅黑"/>
          <w:color w:val="545454"/>
          <w:szCs w:val="21"/>
          <w:shd w:val="clear" w:color="auto" w:fill="FFFFFF"/>
        </w:rPr>
        <w:t>络</w:t>
      </w:r>
    </w:p>
    <w:p>
      <w:pPr>
        <w:widowControl/>
        <w:spacing w:after="122" w:line="374" w:lineRule="atLeast"/>
        <w:ind w:left="480"/>
        <w:jc w:val="left"/>
        <w:rPr>
          <w:rFonts w:ascii="等线" w:hAnsi="等线" w:eastAsia="等线" w:cs="Calibri"/>
          <w:color w:val="262626"/>
          <w:kern w:val="0"/>
          <w:sz w:val="22"/>
          <w:szCs w:val="22"/>
          <w:lang w:val="en-CA"/>
        </w:rPr>
      </w:pPr>
      <w:r>
        <w:rPr>
          <w:rFonts w:ascii="Calibri" w:hAnsi="Calibri" w:eastAsia="等线" w:cs="Calibri"/>
          <w:b/>
          <w:bCs/>
          <w:i/>
          <w:iCs/>
          <w:color w:val="262626"/>
          <w:kern w:val="0"/>
          <w:sz w:val="22"/>
          <w:szCs w:val="22"/>
          <w:lang w:val="en-CA"/>
        </w:rPr>
        <w:t>Lennon Li:</w:t>
      </w:r>
      <w:r>
        <w:rPr>
          <w:rFonts w:hint="eastAsia" w:ascii="等线" w:hAnsi="等线" w:eastAsia="等线" w:cs="Calibri"/>
          <w:color w:val="262626"/>
          <w:kern w:val="0"/>
          <w:sz w:val="22"/>
          <w:szCs w:val="22"/>
          <w:lang w:val="en-CA"/>
        </w:rPr>
        <w:t xml:space="preserve"> </w:t>
      </w:r>
    </w:p>
    <w:p>
      <w:pPr>
        <w:widowControl/>
        <w:spacing w:after="122" w:line="374" w:lineRule="atLeast"/>
        <w:ind w:left="480"/>
        <w:jc w:val="left"/>
        <w:rPr>
          <w:rFonts w:ascii="等线" w:hAnsi="等线" w:eastAsia="等线" w:cs="Calibri"/>
          <w:color w:val="262626"/>
          <w:kern w:val="0"/>
          <w:sz w:val="22"/>
          <w:szCs w:val="22"/>
          <w:lang w:val="en-CA"/>
        </w:rPr>
      </w:pPr>
      <w:r>
        <w:fldChar w:fldCharType="begin"/>
      </w:r>
      <w:r>
        <w:instrText xml:space="preserve"> HYPERLINK "http://www.dlsph.utoronto.ca/faculty-profile/li-lennon/" </w:instrText>
      </w:r>
      <w:r>
        <w:fldChar w:fldCharType="separate"/>
      </w:r>
      <w:r>
        <w:rPr>
          <w:rStyle w:val="7"/>
        </w:rPr>
        <w:t>http://www.dlsph.utoronto.ca/faculty-profile/li-lennon/</w:t>
      </w:r>
      <w:r>
        <w:fldChar w:fldCharType="end"/>
      </w:r>
    </w:p>
    <w:p>
      <w:pPr>
        <w:widowControl/>
        <w:spacing w:after="122" w:line="374" w:lineRule="atLeast"/>
        <w:ind w:left="480"/>
        <w:jc w:val="left"/>
        <w:rPr>
          <w:rFonts w:hint="eastAsia" w:ascii="等线" w:hAnsi="等线" w:eastAsia="等线" w:cs="Calibri"/>
          <w:color w:val="262626"/>
          <w:kern w:val="0"/>
          <w:sz w:val="22"/>
          <w:szCs w:val="22"/>
          <w:lang w:val="en-CA"/>
        </w:rPr>
      </w:pPr>
      <w:r>
        <w:rPr>
          <w:rFonts w:hint="eastAsia" w:ascii="等线" w:hAnsi="等线" w:eastAsia="等线" w:cs="Calibri"/>
          <w:color w:val="262626"/>
          <w:kern w:val="0"/>
          <w:sz w:val="22"/>
          <w:szCs w:val="22"/>
          <w:lang w:val="en-CA"/>
        </w:rPr>
        <w:t>多伦多大学生物统计学学教授。 研究方向：大数据科学及AI应用</w:t>
      </w:r>
    </w:p>
    <w:p>
      <w:pPr>
        <w:widowControl/>
        <w:spacing w:after="122" w:line="374" w:lineRule="atLeast"/>
        <w:ind w:left="480"/>
        <w:jc w:val="left"/>
        <w:rPr>
          <w:rFonts w:hint="eastAsia" w:ascii="等线" w:hAnsi="等线" w:eastAsia="等线" w:cs="Calibri"/>
          <w:color w:val="262626"/>
          <w:kern w:val="0"/>
          <w:sz w:val="22"/>
          <w:szCs w:val="22"/>
          <w:lang w:val="en-CA"/>
        </w:rPr>
      </w:pPr>
    </w:p>
    <w:p>
      <w:pPr>
        <w:rPr>
          <w:rFonts w:ascii="微软雅黑" w:hAnsi="微软雅黑" w:eastAsia="微软雅黑"/>
          <w:b/>
          <w:bCs/>
          <w:sz w:val="22"/>
          <w:szCs w:val="22"/>
        </w:rPr>
      </w:pPr>
      <w:r>
        <w:rPr>
          <w:rFonts w:hint="eastAsia" w:ascii="微软雅黑" w:hAnsi="微软雅黑" w:eastAsia="微软雅黑"/>
          <w:b/>
          <w:bCs/>
          <w:sz w:val="22"/>
          <w:szCs w:val="22"/>
        </w:rPr>
        <w:t>附件</w:t>
      </w:r>
      <w:r>
        <w:rPr>
          <w:rFonts w:ascii="微软雅黑" w:hAnsi="微软雅黑" w:eastAsia="微软雅黑"/>
          <w:b/>
          <w:bCs/>
          <w:sz w:val="22"/>
          <w:szCs w:val="22"/>
        </w:rPr>
        <w:t>(3)</w:t>
      </w:r>
    </w:p>
    <w:p>
      <w:pPr>
        <w:rPr>
          <w:rFonts w:ascii="微软雅黑" w:hAnsi="微软雅黑" w:eastAsia="微软雅黑"/>
          <w:sz w:val="22"/>
          <w:szCs w:val="22"/>
          <w:lang w:val="en-CA"/>
        </w:rPr>
      </w:pPr>
      <w:r>
        <w:rPr>
          <w:rFonts w:hint="eastAsia" w:ascii="微软雅黑" w:hAnsi="微软雅黑" w:eastAsia="微软雅黑"/>
          <w:b/>
          <w:bCs/>
          <w:sz w:val="22"/>
          <w:szCs w:val="22"/>
          <w:lang w:val="en-CA"/>
        </w:rPr>
        <w:t>关于多伦多大学</w:t>
      </w:r>
      <w:r>
        <w:rPr>
          <w:rFonts w:ascii="微软雅黑" w:hAnsi="微软雅黑" w:eastAsia="微软雅黑"/>
          <w:b/>
          <w:bCs/>
          <w:sz w:val="22"/>
          <w:szCs w:val="22"/>
          <w:lang w:val="en-CA"/>
        </w:rPr>
        <w:t>RiskLab</w:t>
      </w:r>
      <w:r>
        <w:rPr>
          <w:rFonts w:hint="eastAsia" w:ascii="微软雅黑" w:hAnsi="微软雅黑" w:eastAsia="微软雅黑"/>
          <w:b/>
          <w:bCs/>
          <w:sz w:val="22"/>
          <w:szCs w:val="22"/>
          <w:lang w:val="en-CA"/>
        </w:rPr>
        <w:t>中心</w:t>
      </w:r>
      <w:r>
        <w:rPr>
          <w:rFonts w:ascii="微软雅黑" w:hAnsi="微软雅黑" w:eastAsia="微软雅黑"/>
          <w:b/>
          <w:bCs/>
          <w:sz w:val="22"/>
          <w:szCs w:val="22"/>
          <w:lang w:val="en-CA"/>
        </w:rPr>
        <w:t xml:space="preserve"> </w:t>
      </w:r>
    </w:p>
    <w:p>
      <w:pPr>
        <w:rPr>
          <w:rFonts w:ascii="微软雅黑" w:hAnsi="微软雅黑" w:eastAsia="微软雅黑"/>
          <w:sz w:val="22"/>
          <w:szCs w:val="22"/>
          <w:lang w:val="en-CA"/>
        </w:rPr>
      </w:pPr>
      <w:r>
        <w:rPr>
          <w:rFonts w:ascii="微软雅黑" w:hAnsi="微软雅黑" w:eastAsia="微软雅黑"/>
          <w:b/>
          <w:bCs/>
          <w:sz w:val="22"/>
          <w:szCs w:val="22"/>
          <w:lang w:val="en-CA"/>
        </w:rPr>
        <w:t xml:space="preserve">About RiskLab, University of Toronto </w:t>
      </w:r>
    </w:p>
    <w:p>
      <w:pPr>
        <w:spacing w:line="360" w:lineRule="exact"/>
        <w:rPr>
          <w:rFonts w:ascii="Calibri" w:hAnsi="Calibri" w:eastAsia="微软雅黑" w:cs="Calibri"/>
          <w:sz w:val="24"/>
          <w:lang w:val="en-CA"/>
        </w:rPr>
      </w:pPr>
      <w:r>
        <w:rPr>
          <w:rFonts w:ascii="Calibri" w:hAnsi="Calibri" w:eastAsia="微软雅黑" w:cs="Calibri"/>
          <w:sz w:val="24"/>
          <w:lang w:val="en-CA"/>
        </w:rPr>
        <w:t xml:space="preserve">RiskLab Toronto is a divisional center at the University of Toronto that conducts education, research and develops projects with industrial partners. Established in 1996 by Professor Luis Seco, it has pioneered advances primarily in business, asset management and innovation, led to the creation of several spin-off companies, and grown to develop RiskLab Alliance, an international network that addresses the business and academic sectors’ needs for cutting edge research and highly qualified personnel. </w:t>
      </w:r>
    </w:p>
    <w:p>
      <w:pPr>
        <w:spacing w:line="360" w:lineRule="exact"/>
        <w:rPr>
          <w:rFonts w:ascii="Calibri" w:hAnsi="Calibri" w:eastAsia="微软雅黑" w:cs="Calibri"/>
          <w:sz w:val="24"/>
          <w:lang w:val="en-CA"/>
        </w:rPr>
      </w:pPr>
      <w:r>
        <w:rPr>
          <w:rFonts w:ascii="Calibri" w:hAnsi="Calibri" w:eastAsia="微软雅黑" w:cs="Calibri"/>
          <w:sz w:val="24"/>
          <w:lang w:val="en-CA"/>
        </w:rPr>
        <w:t xml:space="preserve">RiskLab’s main objective is to pioneer and achieve leadership in the development of projects and research to support institutions, universities, and governments worldwide. RiskLab’s team is comprised of faculty, postdoctoral fellows, and graduate students, who have conducted research in business modeling, and academic and technology researches. Through industry partnership projects with universities, companies and governments, we provide solutions in many aspects of the spectrum. </w:t>
      </w:r>
    </w:p>
    <w:p>
      <w:pPr>
        <w:spacing w:line="360" w:lineRule="exact"/>
        <w:rPr>
          <w:rFonts w:ascii="Calibri" w:hAnsi="Calibri" w:eastAsia="微软雅黑" w:cs="Calibri"/>
          <w:sz w:val="24"/>
          <w:lang w:val="en-CA"/>
        </w:rPr>
      </w:pPr>
      <w:r>
        <w:rPr>
          <w:rFonts w:ascii="Calibri" w:hAnsi="Calibri" w:eastAsia="微软雅黑" w:cs="Calibri"/>
          <w:sz w:val="24"/>
          <w:lang w:val="en-CA"/>
        </w:rPr>
        <w:t xml:space="preserve">The Government of Canada granted the Synergy Awards for Innovation to RiskLab Toronto in 2007 for its effective collaboration between Algorithmics Inc. (now IBM) and the University of Toronto. </w:t>
      </w:r>
    </w:p>
    <w:p>
      <w:pPr>
        <w:spacing w:line="360" w:lineRule="exact"/>
        <w:rPr>
          <w:rFonts w:ascii="Calibri" w:hAnsi="Calibri" w:eastAsia="微软雅黑" w:cs="Calibri"/>
          <w:sz w:val="24"/>
          <w:lang w:val="en-CA"/>
        </w:rPr>
      </w:pPr>
      <w:r>
        <w:rPr>
          <w:rFonts w:ascii="Calibri" w:hAnsi="Calibri" w:eastAsia="微软雅黑" w:cs="Calibri"/>
          <w:sz w:val="24"/>
          <w:lang w:val="en-CA"/>
        </w:rPr>
        <w:t xml:space="preserve">Shortly afterwards, partnerships were established with Technische Universität München, Cornell University, Cambridge University, the Universidad Autonoma de Madrid, the Cyprus International Institute of Management, Universität Zürich, Swiss Federal Institue of Technology (ETH Zurich), Renmin university, Chinese Academy of Sciences. etc . Further, in 2013, a Finnish section of Risklab was independently created at Åbo Akademi University in Turku and Arcada University of Applied Sciences in Helsinki. In 2010, growing out of the RiskLab international network, RiskLab built the strategic alliance. The ethos of RiskLab is a fusion of academic research, industrial innovation, and governmental oversight in business management. </w:t>
      </w:r>
    </w:p>
    <w:p>
      <w:pPr>
        <w:rPr>
          <w:rFonts w:ascii="微软雅黑" w:hAnsi="微软雅黑" w:eastAsia="微软雅黑"/>
          <w:sz w:val="22"/>
          <w:szCs w:val="22"/>
          <w:lang w:val="en-CA"/>
        </w:rPr>
      </w:pPr>
      <w:r>
        <w:rPr>
          <w:rFonts w:hint="eastAsia" w:ascii="微软雅黑" w:hAnsi="微软雅黑" w:eastAsia="微软雅黑"/>
          <w:sz w:val="22"/>
          <w:szCs w:val="22"/>
          <w:lang w:val="en-CA"/>
        </w:rPr>
        <w:t>关于多伦多大学</w:t>
      </w:r>
      <w:r>
        <w:rPr>
          <w:rFonts w:ascii="微软雅黑" w:hAnsi="微软雅黑" w:eastAsia="微软雅黑"/>
          <w:b/>
          <w:bCs/>
          <w:sz w:val="22"/>
          <w:szCs w:val="22"/>
          <w:lang w:val="en-CA"/>
        </w:rPr>
        <w:t xml:space="preserve">RiskLab </w:t>
      </w:r>
    </w:p>
    <w:p>
      <w:pPr>
        <w:spacing w:line="360" w:lineRule="exact"/>
        <w:rPr>
          <w:rFonts w:ascii="微软雅黑" w:hAnsi="微软雅黑" w:eastAsia="微软雅黑"/>
          <w:sz w:val="22"/>
          <w:szCs w:val="22"/>
          <w:lang w:val="en-CA"/>
        </w:rPr>
      </w:pPr>
      <w:r>
        <w:rPr>
          <w:rFonts w:ascii="微软雅黑" w:hAnsi="微软雅黑" w:eastAsia="微软雅黑"/>
          <w:sz w:val="22"/>
          <w:szCs w:val="22"/>
          <w:lang w:val="en-CA"/>
        </w:rPr>
        <w:t>RiskLab</w:t>
      </w:r>
      <w:r>
        <w:rPr>
          <w:rFonts w:hint="eastAsia" w:ascii="微软雅黑" w:hAnsi="微软雅黑" w:eastAsia="微软雅黑"/>
          <w:sz w:val="22"/>
          <w:szCs w:val="22"/>
          <w:lang w:val="en-CA"/>
        </w:rPr>
        <w:t>是多伦多大学的一个校级部门中心，与学术机构及行业合作伙伴开展教育、研究和创新技术开发项目。它由路易斯·塞科（</w:t>
      </w:r>
      <w:r>
        <w:rPr>
          <w:rFonts w:ascii="微软雅黑" w:hAnsi="微软雅黑" w:eastAsia="微软雅黑"/>
          <w:sz w:val="22"/>
          <w:szCs w:val="22"/>
          <w:lang w:val="en-CA"/>
        </w:rPr>
        <w:t>Luis Seco</w:t>
      </w:r>
      <w:r>
        <w:rPr>
          <w:rFonts w:hint="eastAsia" w:ascii="微软雅黑" w:hAnsi="微软雅黑" w:eastAsia="微软雅黑"/>
          <w:sz w:val="22"/>
          <w:szCs w:val="22"/>
          <w:lang w:val="en-CA"/>
        </w:rPr>
        <w:t>）教授于</w:t>
      </w:r>
      <w:r>
        <w:rPr>
          <w:rFonts w:ascii="微软雅黑" w:hAnsi="微软雅黑" w:eastAsia="微软雅黑"/>
          <w:sz w:val="22"/>
          <w:szCs w:val="22"/>
          <w:lang w:val="en-CA"/>
        </w:rPr>
        <w:t>1996</w:t>
      </w:r>
      <w:r>
        <w:rPr>
          <w:rFonts w:hint="eastAsia" w:ascii="微软雅黑" w:hAnsi="微软雅黑" w:eastAsia="微软雅黑"/>
          <w:sz w:val="22"/>
          <w:szCs w:val="22"/>
          <w:lang w:val="en-CA"/>
        </w:rPr>
        <w:t>年成立，主要在教育，科技创新及商业领域开创先河，促成了数家衍生公司的创立，现今已成为了一个面向商业和学术领域，解决领域需求的国际前沿的研究联盟及高级人才库。</w:t>
      </w:r>
      <w:r>
        <w:rPr>
          <w:rFonts w:ascii="微软雅黑" w:hAnsi="微软雅黑" w:eastAsia="微软雅黑"/>
          <w:sz w:val="22"/>
          <w:szCs w:val="22"/>
          <w:lang w:val="en-CA"/>
        </w:rPr>
        <w:t xml:space="preserve"> </w:t>
      </w:r>
    </w:p>
    <w:p>
      <w:pPr>
        <w:spacing w:line="360" w:lineRule="exact"/>
        <w:rPr>
          <w:rFonts w:ascii="微软雅黑" w:hAnsi="微软雅黑" w:eastAsia="微软雅黑"/>
          <w:sz w:val="22"/>
          <w:szCs w:val="22"/>
          <w:lang w:val="en-CA"/>
        </w:rPr>
      </w:pPr>
      <w:r>
        <w:rPr>
          <w:rFonts w:ascii="微软雅黑" w:hAnsi="微软雅黑" w:eastAsia="微软雅黑"/>
          <w:sz w:val="22"/>
          <w:szCs w:val="22"/>
          <w:lang w:val="en-CA"/>
        </w:rPr>
        <w:t>RiskLab</w:t>
      </w:r>
      <w:r>
        <w:rPr>
          <w:rFonts w:hint="eastAsia" w:ascii="微软雅黑" w:hAnsi="微软雅黑" w:eastAsia="微软雅黑"/>
          <w:sz w:val="22"/>
          <w:szCs w:val="22"/>
          <w:lang w:val="en-CA"/>
        </w:rPr>
        <w:t>擅长商业和科研领域项目的研发和开拓，并率先并取得领导地位，从而支持全球各地机构，大学和政府。</w:t>
      </w:r>
      <w:r>
        <w:rPr>
          <w:rFonts w:ascii="微软雅黑" w:hAnsi="微软雅黑" w:eastAsia="微软雅黑"/>
          <w:sz w:val="22"/>
          <w:szCs w:val="22"/>
          <w:lang w:val="en-CA"/>
        </w:rPr>
        <w:t xml:space="preserve"> RiskLab</w:t>
      </w:r>
      <w:r>
        <w:rPr>
          <w:rFonts w:hint="eastAsia" w:ascii="微软雅黑" w:hAnsi="微软雅黑" w:eastAsia="微软雅黑"/>
          <w:sz w:val="22"/>
          <w:szCs w:val="22"/>
          <w:lang w:val="en-CA"/>
        </w:rPr>
        <w:t>的团队由各行业有着丰富经验的教授、博士后和研究生组成。通过与全球各高校、企业以及政府合作项目，为这些机构提供多方面的业务需求解决方案。</w:t>
      </w:r>
    </w:p>
    <w:p>
      <w:pPr>
        <w:spacing w:line="360" w:lineRule="exact"/>
        <w:rPr>
          <w:rFonts w:ascii="微软雅黑" w:hAnsi="微软雅黑" w:eastAsia="微软雅黑"/>
          <w:sz w:val="22"/>
          <w:szCs w:val="22"/>
          <w:lang w:val="en-CA"/>
        </w:rPr>
      </w:pPr>
      <w:r>
        <w:rPr>
          <w:rFonts w:hint="eastAsia" w:ascii="微软雅黑" w:hAnsi="微软雅黑" w:eastAsia="微软雅黑"/>
          <w:sz w:val="22"/>
          <w:szCs w:val="22"/>
          <w:lang w:val="en-CA"/>
        </w:rPr>
        <w:t>加拿大政府因</w:t>
      </w:r>
      <w:r>
        <w:rPr>
          <w:rFonts w:ascii="微软雅黑" w:hAnsi="微软雅黑" w:eastAsia="微软雅黑"/>
          <w:sz w:val="22"/>
          <w:szCs w:val="22"/>
          <w:lang w:val="en-CA"/>
        </w:rPr>
        <w:t>RiskLab</w:t>
      </w:r>
      <w:r>
        <w:rPr>
          <w:rFonts w:hint="eastAsia" w:ascii="微软雅黑" w:hAnsi="微软雅黑" w:eastAsia="微软雅黑"/>
          <w:sz w:val="22"/>
          <w:szCs w:val="22"/>
          <w:lang w:val="en-CA"/>
        </w:rPr>
        <w:t>在</w:t>
      </w:r>
      <w:r>
        <w:rPr>
          <w:rFonts w:ascii="微软雅黑" w:hAnsi="微软雅黑" w:eastAsia="微软雅黑"/>
          <w:sz w:val="22"/>
          <w:szCs w:val="22"/>
          <w:lang w:val="en-CA"/>
        </w:rPr>
        <w:t>Algorithmics Inc.</w:t>
      </w:r>
      <w:r>
        <w:rPr>
          <w:rFonts w:hint="eastAsia" w:ascii="微软雅黑" w:hAnsi="微软雅黑" w:eastAsia="微软雅黑"/>
          <w:sz w:val="22"/>
          <w:szCs w:val="22"/>
          <w:lang w:val="en-CA"/>
        </w:rPr>
        <w:t>（现为</w:t>
      </w:r>
      <w:r>
        <w:rPr>
          <w:rFonts w:ascii="微软雅黑" w:hAnsi="微软雅黑" w:eastAsia="微软雅黑"/>
          <w:sz w:val="22"/>
          <w:szCs w:val="22"/>
          <w:lang w:val="en-CA"/>
        </w:rPr>
        <w:t>IBM</w:t>
      </w:r>
      <w:r>
        <w:rPr>
          <w:rFonts w:hint="eastAsia" w:ascii="微软雅黑" w:hAnsi="微软雅黑" w:eastAsia="微软雅黑"/>
          <w:sz w:val="22"/>
          <w:szCs w:val="22"/>
          <w:lang w:val="en-CA"/>
        </w:rPr>
        <w:t>）与多伦多大学之间的有效合作而向</w:t>
      </w:r>
      <w:r>
        <w:rPr>
          <w:rFonts w:ascii="微软雅黑" w:hAnsi="微软雅黑" w:eastAsia="微软雅黑"/>
          <w:sz w:val="22"/>
          <w:szCs w:val="22"/>
          <w:lang w:val="en-CA"/>
        </w:rPr>
        <w:t>RiskLab Toronto</w:t>
      </w:r>
      <w:r>
        <w:rPr>
          <w:rFonts w:hint="eastAsia" w:ascii="微软雅黑" w:hAnsi="微软雅黑" w:eastAsia="微软雅黑"/>
          <w:sz w:val="22"/>
          <w:szCs w:val="22"/>
          <w:lang w:val="en-CA"/>
        </w:rPr>
        <w:t>授予了国家创新协同奖。</w:t>
      </w:r>
      <w:r>
        <w:rPr>
          <w:rFonts w:ascii="微软雅黑" w:hAnsi="微软雅黑" w:eastAsia="微软雅黑"/>
          <w:sz w:val="22"/>
          <w:szCs w:val="22"/>
          <w:lang w:val="en-CA"/>
        </w:rPr>
        <w:t xml:space="preserve"> </w:t>
      </w:r>
    </w:p>
    <w:p>
      <w:pPr>
        <w:spacing w:line="360" w:lineRule="exact"/>
        <w:rPr>
          <w:rFonts w:ascii="微软雅黑" w:hAnsi="微软雅黑" w:eastAsia="微软雅黑"/>
          <w:sz w:val="22"/>
          <w:szCs w:val="22"/>
          <w:lang w:val="en-CA"/>
        </w:rPr>
      </w:pPr>
      <w:r>
        <w:rPr>
          <w:rFonts w:hint="eastAsia" w:ascii="微软雅黑" w:hAnsi="微软雅黑" w:eastAsia="微软雅黑"/>
          <w:sz w:val="22"/>
          <w:szCs w:val="22"/>
          <w:lang w:val="en-CA"/>
        </w:rPr>
        <w:t>此后，</w:t>
      </w:r>
      <w:r>
        <w:rPr>
          <w:rFonts w:ascii="微软雅黑" w:hAnsi="微软雅黑" w:eastAsia="微软雅黑"/>
          <w:sz w:val="22"/>
          <w:szCs w:val="22"/>
          <w:lang w:val="en-CA"/>
        </w:rPr>
        <w:t>RiskLab</w:t>
      </w:r>
      <w:r>
        <w:rPr>
          <w:rFonts w:hint="eastAsia" w:ascii="微软雅黑" w:hAnsi="微软雅黑" w:eastAsia="微软雅黑"/>
          <w:sz w:val="22"/>
          <w:szCs w:val="22"/>
          <w:lang w:val="en-CA"/>
        </w:rPr>
        <w:t>与慕尼黑工业大学，康奈尔大学，剑桥大学，马德里自治大学，瑞士苏黎世联邦理工学院，苏黎世大学，塞浦路斯国际研究所，人民大学，</w:t>
      </w:r>
      <w:r>
        <w:rPr>
          <w:rFonts w:ascii="微软雅黑" w:hAnsi="微软雅黑" w:eastAsia="微软雅黑"/>
          <w:sz w:val="22"/>
          <w:szCs w:val="22"/>
          <w:lang w:val="en-CA"/>
        </w:rPr>
        <w:t xml:space="preserve"> </w:t>
      </w:r>
      <w:r>
        <w:rPr>
          <w:rFonts w:hint="eastAsia" w:ascii="微软雅黑" w:hAnsi="微软雅黑" w:eastAsia="微软雅黑"/>
          <w:sz w:val="22"/>
          <w:szCs w:val="22"/>
          <w:lang w:val="en-CA"/>
        </w:rPr>
        <w:t>中科院，图尔库</w:t>
      </w:r>
      <w:r>
        <w:rPr>
          <w:rFonts w:ascii="微软雅黑" w:hAnsi="微软雅黑" w:eastAsia="微软雅黑"/>
          <w:sz w:val="22"/>
          <w:szCs w:val="22"/>
          <w:lang w:val="en-CA"/>
        </w:rPr>
        <w:t>ÅboAkademi</w:t>
      </w:r>
      <w:r>
        <w:rPr>
          <w:rFonts w:hint="eastAsia" w:ascii="微软雅黑" w:hAnsi="微软雅黑" w:eastAsia="微软雅黑"/>
          <w:sz w:val="22"/>
          <w:szCs w:val="22"/>
          <w:lang w:val="en-CA"/>
        </w:rPr>
        <w:t>大学及赫尔辛基的</w:t>
      </w:r>
      <w:r>
        <w:rPr>
          <w:rFonts w:ascii="微软雅黑" w:hAnsi="微软雅黑" w:eastAsia="微软雅黑"/>
          <w:sz w:val="22"/>
          <w:szCs w:val="22"/>
          <w:lang w:val="en-CA"/>
        </w:rPr>
        <w:t>Arcada</w:t>
      </w:r>
      <w:r>
        <w:rPr>
          <w:rFonts w:hint="eastAsia" w:ascii="微软雅黑" w:hAnsi="微软雅黑" w:eastAsia="微软雅黑"/>
          <w:sz w:val="22"/>
          <w:szCs w:val="22"/>
          <w:lang w:val="en-CA"/>
        </w:rPr>
        <w:t>应用科学大学等国际一流教育科研机构开展了深度合作，</w:t>
      </w:r>
      <w:r>
        <w:rPr>
          <w:rFonts w:ascii="微软雅黑" w:hAnsi="微软雅黑" w:eastAsia="微软雅黑"/>
          <w:sz w:val="22"/>
          <w:szCs w:val="22"/>
          <w:lang w:val="en-CA"/>
        </w:rPr>
        <w:t xml:space="preserve"> </w:t>
      </w:r>
      <w:r>
        <w:rPr>
          <w:rFonts w:hint="eastAsia" w:ascii="微软雅黑" w:hAnsi="微软雅黑" w:eastAsia="微软雅黑"/>
          <w:sz w:val="22"/>
          <w:szCs w:val="22"/>
          <w:lang w:val="en-CA"/>
        </w:rPr>
        <w:t>并组建成为科研联盟。</w:t>
      </w:r>
      <w:r>
        <w:rPr>
          <w:rFonts w:ascii="微软雅黑" w:hAnsi="微软雅黑" w:eastAsia="微软雅黑"/>
          <w:sz w:val="22"/>
          <w:szCs w:val="22"/>
          <w:lang w:val="en-CA"/>
        </w:rPr>
        <w:t xml:space="preserve"> </w:t>
      </w:r>
      <w:r>
        <w:rPr>
          <w:rFonts w:hint="eastAsia" w:ascii="微软雅黑" w:hAnsi="微软雅黑" w:eastAsia="微软雅黑"/>
          <w:sz w:val="22"/>
          <w:szCs w:val="22"/>
          <w:lang w:val="en-CA"/>
        </w:rPr>
        <w:t>目前，</w:t>
      </w:r>
      <w:r>
        <w:rPr>
          <w:rFonts w:ascii="微软雅黑" w:hAnsi="微软雅黑" w:eastAsia="微软雅黑"/>
          <w:sz w:val="22"/>
          <w:szCs w:val="22"/>
          <w:lang w:val="en-CA"/>
        </w:rPr>
        <w:t>RiskLab</w:t>
      </w:r>
      <w:r>
        <w:rPr>
          <w:rFonts w:hint="eastAsia" w:ascii="微软雅黑" w:hAnsi="微软雅黑" w:eastAsia="微软雅黑"/>
          <w:sz w:val="22"/>
          <w:szCs w:val="22"/>
          <w:lang w:val="en-CA"/>
        </w:rPr>
        <w:t>基于其国际地位，与全球各大知名高校及企业逐渐形成完善的战略联盟结构。</w:t>
      </w:r>
      <w:r>
        <w:rPr>
          <w:rFonts w:ascii="微软雅黑" w:hAnsi="微软雅黑" w:eastAsia="微软雅黑"/>
          <w:sz w:val="22"/>
          <w:szCs w:val="22"/>
          <w:lang w:val="en-CA"/>
        </w:rPr>
        <w:t>RiskLab</w:t>
      </w:r>
      <w:r>
        <w:rPr>
          <w:rFonts w:hint="eastAsia" w:ascii="微软雅黑" w:hAnsi="微软雅黑" w:eastAsia="微软雅黑"/>
          <w:sz w:val="22"/>
          <w:szCs w:val="22"/>
          <w:lang w:val="en-CA"/>
        </w:rPr>
        <w:t>的精神与宗旨是学术研究，产业创新和政府对企业管理的监督的融合。</w:t>
      </w:r>
      <w:r>
        <w:rPr>
          <w:rFonts w:ascii="微软雅黑" w:hAnsi="微软雅黑" w:eastAsia="微软雅黑"/>
          <w:sz w:val="22"/>
          <w:szCs w:val="22"/>
          <w:lang w:val="en-CA"/>
        </w:rPr>
        <w:t xml:space="preserve"> </w:t>
      </w:r>
    </w:p>
    <w:p>
      <w:pPr>
        <w:rPr>
          <w:rFonts w:ascii="微软雅黑" w:hAnsi="微软雅黑" w:eastAsia="微软雅黑"/>
          <w:sz w:val="22"/>
          <w:szCs w:val="22"/>
          <w:lang w:val="en-CA"/>
        </w:rPr>
      </w:pPr>
      <w:r>
        <w:rPr>
          <w:rFonts w:hint="eastAsia" w:ascii="微软雅黑" w:hAnsi="微软雅黑" w:eastAsia="微软雅黑"/>
          <w:sz w:val="22"/>
          <w:szCs w:val="22"/>
          <w:lang w:val="en-CA"/>
        </w:rPr>
        <w:t>多伦多大学</w:t>
      </w:r>
      <w:r>
        <w:rPr>
          <w:rFonts w:ascii="微软雅黑" w:hAnsi="微软雅黑" w:eastAsia="微软雅黑"/>
          <w:sz w:val="22"/>
          <w:szCs w:val="22"/>
          <w:lang w:val="en-CA"/>
        </w:rPr>
        <w:t>RiskLab</w:t>
      </w:r>
      <w:r>
        <w:rPr>
          <w:rFonts w:hint="eastAsia" w:ascii="微软雅黑" w:hAnsi="微软雅黑" w:eastAsia="微软雅黑"/>
          <w:sz w:val="22"/>
          <w:szCs w:val="22"/>
          <w:lang w:val="en-CA"/>
        </w:rPr>
        <w:t>中心官网：</w:t>
      </w:r>
      <w:r>
        <w:rPr>
          <w:rFonts w:ascii="微软雅黑" w:hAnsi="微软雅黑" w:eastAsia="微软雅黑"/>
          <w:sz w:val="22"/>
          <w:szCs w:val="22"/>
          <w:lang w:val="en-CA"/>
        </w:rPr>
        <w:t xml:space="preserve"> </w:t>
      </w:r>
    </w:p>
    <w:p>
      <w:pPr>
        <w:rPr>
          <w:rStyle w:val="7"/>
        </w:rPr>
      </w:pPr>
      <w:r>
        <w:rPr>
          <w:rStyle w:val="7"/>
        </w:rPr>
        <w:t xml:space="preserve">http://risklab.utoronto.ca/ </w:t>
      </w:r>
    </w:p>
    <w:p>
      <w:pPr>
        <w:rPr>
          <w:rFonts w:ascii="微软雅黑" w:hAnsi="微软雅黑" w:eastAsia="微软雅黑"/>
          <w:b/>
          <w:bCs/>
          <w:sz w:val="24"/>
        </w:rPr>
        <w:sectPr>
          <w:headerReference r:id="rId3" w:type="default"/>
          <w:pgSz w:w="11906" w:h="16838"/>
          <w:pgMar w:top="1701" w:right="1800" w:bottom="1440" w:left="1800" w:header="851" w:footer="992" w:gutter="0"/>
          <w:cols w:space="425" w:num="1"/>
          <w:docGrid w:type="lines" w:linePitch="312" w:charSpace="0"/>
        </w:sectPr>
      </w:pPr>
      <w:r>
        <w:rPr>
          <w:rStyle w:val="7"/>
        </w:rPr>
        <w:t>https://www.mmf.utoronto.ca/</w:t>
      </w:r>
    </w:p>
    <w:p>
      <w:pPr>
        <w:rPr>
          <w:rFonts w:ascii="微软雅黑" w:hAnsi="微软雅黑" w:eastAsia="微软雅黑"/>
          <w:b/>
          <w:bCs/>
          <w:sz w:val="22"/>
          <w:szCs w:val="22"/>
        </w:rPr>
      </w:pPr>
      <w:r>
        <w:rPr>
          <w:rFonts w:hint="eastAsia" w:ascii="微软雅黑" w:hAnsi="微软雅黑" w:eastAsia="微软雅黑"/>
          <w:b/>
          <w:bCs/>
          <w:sz w:val="22"/>
          <w:szCs w:val="22"/>
        </w:rPr>
        <w:t>附件(</w:t>
      </w:r>
      <w:r>
        <w:rPr>
          <w:rFonts w:ascii="微软雅黑" w:hAnsi="微软雅黑" w:eastAsia="微软雅黑"/>
          <w:b/>
          <w:bCs/>
          <w:sz w:val="22"/>
          <w:szCs w:val="22"/>
        </w:rPr>
        <w:t>4)</w:t>
      </w:r>
    </w:p>
    <w:p>
      <w:pPr>
        <w:ind w:left="840" w:hanging="360"/>
        <w:rPr>
          <w:rFonts w:ascii="微软雅黑" w:hAnsi="微软雅黑" w:eastAsia="微软雅黑"/>
          <w:b/>
          <w:bCs/>
          <w:sz w:val="22"/>
          <w:szCs w:val="22"/>
        </w:rPr>
      </w:pPr>
      <w:r>
        <w:rPr>
          <w:rFonts w:hint="eastAsia" w:ascii="微软雅黑" w:hAnsi="微软雅黑" w:eastAsia="微软雅黑"/>
          <w:b/>
          <w:bCs/>
          <w:sz w:val="22"/>
          <w:szCs w:val="22"/>
        </w:rPr>
        <w:t>多伦多大学校园系统介入卡</w:t>
      </w:r>
    </w:p>
    <w:p>
      <w:pPr>
        <w:ind w:left="840" w:hanging="360"/>
      </w:pPr>
    </w:p>
    <w:p>
      <w:pPr>
        <w:widowControl/>
        <w:spacing w:after="122" w:line="374" w:lineRule="atLeast"/>
        <w:jc w:val="left"/>
      </w:pPr>
      <w:r>
        <w:fldChar w:fldCharType="begin"/>
      </w:r>
      <w:r>
        <w:instrText xml:space="preserve"> INCLUDEPICTURE "https://onesearch.library.utoronto.ca/sites/default/files/tcard.png" \* MERGEFORMATINET </w:instrText>
      </w:r>
      <w:r>
        <w:fldChar w:fldCharType="separate"/>
      </w:r>
      <w:r>
        <w:drawing>
          <wp:inline distT="0" distB="0" distL="114300" distR="114300">
            <wp:extent cx="5253355" cy="3305810"/>
            <wp:effectExtent l="0" t="0" r="4445" b="8890"/>
            <wp:docPr id="3" name="图片 2" descr="sample t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sample tcard"/>
                    <pic:cNvPicPr>
                      <a:picLocks noChangeAspect="1"/>
                    </pic:cNvPicPr>
                  </pic:nvPicPr>
                  <pic:blipFill>
                    <a:blip r:embed="rId6"/>
                    <a:stretch>
                      <a:fillRect/>
                    </a:stretch>
                  </pic:blipFill>
                  <pic:spPr>
                    <a:xfrm>
                      <a:off x="0" y="0"/>
                      <a:ext cx="5253355" cy="3305810"/>
                    </a:xfrm>
                    <a:prstGeom prst="rect">
                      <a:avLst/>
                    </a:prstGeom>
                    <a:noFill/>
                    <a:ln>
                      <a:noFill/>
                    </a:ln>
                  </pic:spPr>
                </pic:pic>
              </a:graphicData>
            </a:graphic>
          </wp:inline>
        </w:drawing>
      </w:r>
      <w:r>
        <w:fldChar w:fldCharType="end"/>
      </w:r>
    </w:p>
    <w:p>
      <w:pPr>
        <w:widowControl/>
        <w:spacing w:after="122" w:line="374" w:lineRule="atLeast"/>
        <w:jc w:val="left"/>
      </w:pPr>
    </w:p>
    <w:p>
      <w:pPr>
        <w:rPr>
          <w:rFonts w:ascii="微软雅黑" w:hAnsi="微软雅黑" w:eastAsia="微软雅黑"/>
          <w:b/>
          <w:bCs/>
          <w:sz w:val="22"/>
          <w:szCs w:val="22"/>
        </w:rPr>
      </w:pPr>
      <w:r>
        <w:rPr>
          <w:rFonts w:hint="eastAsia" w:ascii="微软雅黑" w:hAnsi="微软雅黑" w:eastAsia="微软雅黑"/>
          <w:b/>
          <w:bCs/>
          <w:sz w:val="22"/>
          <w:szCs w:val="22"/>
        </w:rPr>
        <w:t>附件（5）</w:t>
      </w:r>
    </w:p>
    <w:p>
      <w:pPr>
        <w:rPr>
          <w:rFonts w:ascii="微软雅黑" w:hAnsi="微软雅黑" w:eastAsia="微软雅黑"/>
          <w:b/>
          <w:bCs/>
          <w:sz w:val="22"/>
          <w:szCs w:val="22"/>
        </w:rPr>
      </w:pPr>
      <w:r>
        <w:rPr>
          <w:rFonts w:hint="eastAsia" w:ascii="微软雅黑" w:hAnsi="微软雅黑" w:eastAsia="微软雅黑"/>
          <w:b/>
          <w:bCs/>
          <w:sz w:val="22"/>
          <w:szCs w:val="22"/>
        </w:rPr>
        <w:t>学生感受分享</w:t>
      </w:r>
      <w:bookmarkStart w:id="2" w:name="_GoBack"/>
      <w:bookmarkEnd w:id="2"/>
    </w:p>
    <w:p>
      <w:pPr>
        <w:widowControl/>
        <w:spacing w:after="122" w:line="374" w:lineRule="atLeast"/>
        <w:jc w:val="left"/>
      </w:pPr>
      <w:r>
        <w:drawing>
          <wp:inline distT="0" distB="0" distL="114300" distR="114300">
            <wp:extent cx="5664200" cy="7012940"/>
            <wp:effectExtent l="0" t="0" r="12700" b="165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7"/>
                    <a:stretch>
                      <a:fillRect/>
                    </a:stretch>
                  </pic:blipFill>
                  <pic:spPr>
                    <a:xfrm>
                      <a:off x="0" y="0"/>
                      <a:ext cx="5664200" cy="7012940"/>
                    </a:xfrm>
                    <a:prstGeom prst="rect">
                      <a:avLst/>
                    </a:prstGeom>
                    <a:noFill/>
                    <a:ln>
                      <a:noFill/>
                    </a:ln>
                  </pic:spPr>
                </pic:pic>
              </a:graphicData>
            </a:graphic>
          </wp:inline>
        </w:drawing>
      </w:r>
    </w:p>
    <w:p>
      <w:pPr>
        <w:rPr>
          <w:rFonts w:ascii="Calibri" w:hAnsi="Calibri" w:cs="Calibri"/>
          <w:szCs w:val="22"/>
        </w:rPr>
      </w:pPr>
      <w:r>
        <w:rPr>
          <w:rFonts w:ascii="Calibri" w:hAnsi="Calibri" w:cs="Calibri"/>
        </w:rPr>
        <w:drawing>
          <wp:anchor distT="0" distB="0" distL="114300" distR="114300" simplePos="0" relativeHeight="251659264" behindDoc="0" locked="0" layoutInCell="1" allowOverlap="0">
            <wp:simplePos x="0" y="0"/>
            <wp:positionH relativeFrom="column">
              <wp:posOffset>-51435</wp:posOffset>
            </wp:positionH>
            <wp:positionV relativeFrom="paragraph">
              <wp:posOffset>48895</wp:posOffset>
            </wp:positionV>
            <wp:extent cx="1019810" cy="1361440"/>
            <wp:effectExtent l="0" t="0" r="8890" b="10160"/>
            <wp:wrapSquare wrapText="bothSides"/>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8"/>
                    <a:stretch>
                      <a:fillRect/>
                    </a:stretch>
                  </pic:blipFill>
                  <pic:spPr>
                    <a:xfrm>
                      <a:off x="0" y="0"/>
                      <a:ext cx="1019810" cy="1361440"/>
                    </a:xfrm>
                    <a:prstGeom prst="rect">
                      <a:avLst/>
                    </a:prstGeom>
                    <a:noFill/>
                    <a:ln>
                      <a:noFill/>
                    </a:ln>
                  </pic:spPr>
                </pic:pic>
              </a:graphicData>
            </a:graphic>
          </wp:anchor>
        </w:drawing>
      </w:r>
      <w:r>
        <w:rPr>
          <w:rFonts w:ascii="Calibri" w:hAnsi="Calibri" w:cs="Calibri"/>
        </w:rPr>
        <w:t>This program helped me gain a comprehensive understanding of machine learning. It not only provided courses on the mathematical and theoretical foundations, but also started from practical projects, which played an important enlightening role in my current scientific research on deep reinforcement learning.</w:t>
      </w:r>
    </w:p>
    <w:p/>
    <w:p>
      <w:r>
        <w:rPr>
          <w:rFonts w:hint="eastAsia"/>
        </w:rPr>
        <w:t>该项目帮助我深入了解了机器学习，项目团队不仅提供了扎实的数学理论课程，而且从实际应用入手，培养了我独立完成代码的能力，该项目对我目前有关深度强化学习的科研工作起到了重要的启蒙作用。</w:t>
      </w:r>
    </w:p>
    <w:p/>
    <w:p>
      <w:r>
        <w:rPr>
          <w:rFonts w:hint="eastAsia"/>
        </w:rPr>
        <w:t>浦骁威</w:t>
      </w:r>
      <w:r>
        <w:t xml:space="preserve"> </w:t>
      </w:r>
      <w:r>
        <w:rPr>
          <w:rFonts w:hint="eastAsia"/>
        </w:rPr>
        <w:t>(江苏大学本科，中科院大学研究生就读)</w:t>
      </w:r>
    </w:p>
    <w:p/>
    <w:p>
      <w:r>
        <w:drawing>
          <wp:anchor distT="0" distB="0" distL="114300" distR="114300" simplePos="0" relativeHeight="251660288" behindDoc="0" locked="0" layoutInCell="1" allowOverlap="1">
            <wp:simplePos x="0" y="0"/>
            <wp:positionH relativeFrom="column">
              <wp:posOffset>3810</wp:posOffset>
            </wp:positionH>
            <wp:positionV relativeFrom="paragraph">
              <wp:posOffset>32385</wp:posOffset>
            </wp:positionV>
            <wp:extent cx="1045210" cy="1517015"/>
            <wp:effectExtent l="0" t="0" r="2540" b="6985"/>
            <wp:wrapSquare wrapText="bothSides"/>
            <wp:docPr id="11" name="图片 6" descr="张弛 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张弛 照片"/>
                    <pic:cNvPicPr>
                      <a:picLocks noChangeAspect="1"/>
                    </pic:cNvPicPr>
                  </pic:nvPicPr>
                  <pic:blipFill>
                    <a:blip r:embed="rId9"/>
                    <a:stretch>
                      <a:fillRect/>
                    </a:stretch>
                  </pic:blipFill>
                  <pic:spPr>
                    <a:xfrm>
                      <a:off x="0" y="0"/>
                      <a:ext cx="1045210" cy="1517015"/>
                    </a:xfrm>
                    <a:prstGeom prst="rect">
                      <a:avLst/>
                    </a:prstGeom>
                    <a:noFill/>
                    <a:ln>
                      <a:noFill/>
                    </a:ln>
                  </pic:spPr>
                </pic:pic>
              </a:graphicData>
            </a:graphic>
          </wp:anchor>
        </w:drawing>
      </w:r>
    </w:p>
    <w:p/>
    <w:p>
      <w:pPr>
        <w:rPr>
          <w:rFonts w:ascii="Calibri" w:hAnsi="Calibri" w:cs="Calibri"/>
        </w:rPr>
      </w:pPr>
      <w:r>
        <w:rPr>
          <w:rFonts w:ascii="Calibri" w:hAnsi="Calibri" w:cs="Calibri"/>
        </w:rPr>
        <w:t>Through the winter visiting program at University of Toronto, I systematically learned how to write academic papers in English, and gained an understanding of the principles of machine learning. With the help of my teachers, I was able to apply these knowledge to effectively process data. The visiting experience at the University of Toronto not only broadened my horizons, but also provided precious experience for my futural academic research in the master's stage.</w:t>
      </w:r>
    </w:p>
    <w:p>
      <w:pPr>
        <w:rPr>
          <w:rFonts w:hint="eastAsia"/>
        </w:rPr>
      </w:pPr>
      <w:r>
        <w:rPr>
          <w:rFonts w:hint="eastAsia"/>
        </w:rPr>
        <w:t>通过多伦多大学提供的冬季访学项目，我系统学习了如何完成英语学术论文的撰写，接触理解了机器学习相关的原理知识，并且在老师的帮助下运用这些知识进行有效的数据处理。在多伦多大学的访学经历既开阔了我的眼界，也为我未来的硕士阶段的学术科研提供了宝贵的经验。</w:t>
      </w:r>
    </w:p>
    <w:p/>
    <w:p>
      <w:pPr>
        <w:widowControl/>
      </w:pPr>
      <w:r>
        <w:rPr>
          <w:rFonts w:hint="eastAsia"/>
        </w:rPr>
        <w:t>张弛 (江苏大学本科，</w:t>
      </w:r>
      <w:r>
        <w:rPr>
          <w:rFonts w:hint="eastAsia" w:ascii="宋体" w:hAnsi="宋体" w:cs="宋体"/>
          <w:color w:val="000000"/>
          <w:kern w:val="0"/>
          <w:sz w:val="22"/>
          <w:szCs w:val="22"/>
          <w:lang w:val="en-CA"/>
        </w:rPr>
        <w:t>哈尔滨工业大</w:t>
      </w:r>
      <w:r>
        <w:rPr>
          <w:rFonts w:ascii="宋体" w:hAnsi="宋体" w:cs="宋体"/>
          <w:color w:val="000000"/>
          <w:kern w:val="0"/>
          <w:sz w:val="22"/>
          <w:szCs w:val="22"/>
          <w:lang w:val="en-CA"/>
        </w:rPr>
        <w:t>学</w:t>
      </w:r>
      <w:r>
        <w:rPr>
          <w:rFonts w:hint="eastAsia"/>
        </w:rPr>
        <w:t>研究生就读)</w:t>
      </w:r>
    </w:p>
    <w:p>
      <w:pPr>
        <w:widowControl/>
      </w:pPr>
    </w:p>
    <w:p>
      <w:pPr>
        <w:widowControl/>
        <w:rPr>
          <w:rFonts w:ascii="Calibri" w:hAnsi="Calibri" w:eastAsia="Times New Roman" w:cs="Calibri"/>
          <w:color w:val="000000"/>
          <w:kern w:val="0"/>
          <w:sz w:val="22"/>
          <w:szCs w:val="22"/>
          <w:lang w:val="en-CA"/>
        </w:rPr>
      </w:pPr>
      <w:r>
        <w:drawing>
          <wp:anchor distT="0" distB="0" distL="114300" distR="114300" simplePos="0" relativeHeight="251661312" behindDoc="0" locked="0" layoutInCell="1" allowOverlap="1">
            <wp:simplePos x="0" y="0"/>
            <wp:positionH relativeFrom="column">
              <wp:posOffset>3810</wp:posOffset>
            </wp:positionH>
            <wp:positionV relativeFrom="paragraph">
              <wp:posOffset>77470</wp:posOffset>
            </wp:positionV>
            <wp:extent cx="1429385" cy="1442085"/>
            <wp:effectExtent l="0" t="0" r="18415" b="5715"/>
            <wp:wrapSquare wrapText="bothSides"/>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pic:cNvPicPr>
                  </pic:nvPicPr>
                  <pic:blipFill>
                    <a:blip r:embed="rId10"/>
                    <a:stretch>
                      <a:fillRect/>
                    </a:stretch>
                  </pic:blipFill>
                  <pic:spPr>
                    <a:xfrm>
                      <a:off x="0" y="0"/>
                      <a:ext cx="1429385" cy="1442085"/>
                    </a:xfrm>
                    <a:prstGeom prst="rect">
                      <a:avLst/>
                    </a:prstGeom>
                    <a:noFill/>
                    <a:ln>
                      <a:noFill/>
                    </a:ln>
                  </pic:spPr>
                </pic:pic>
              </a:graphicData>
            </a:graphic>
          </wp:anchor>
        </w:drawing>
      </w:r>
    </w:p>
    <w:p>
      <w:pPr>
        <w:widowControl/>
        <w:rPr>
          <w:rFonts w:ascii="Calibri" w:hAnsi="Calibri" w:eastAsia="Times New Roman" w:cs="Calibri"/>
          <w:color w:val="000000"/>
          <w:kern w:val="0"/>
          <w:sz w:val="22"/>
          <w:szCs w:val="22"/>
          <w:lang w:val="en-CA"/>
        </w:rPr>
      </w:pPr>
      <w:r>
        <w:rPr>
          <w:rFonts w:ascii="Calibri" w:hAnsi="Calibri" w:eastAsia="Times New Roman" w:cs="Calibri"/>
          <w:color w:val="000000"/>
          <w:kern w:val="0"/>
          <w:sz w:val="22"/>
          <w:szCs w:val="22"/>
          <w:lang w:val="en-CA"/>
        </w:rPr>
        <w:t>Through this program, I improved my reading and writing skill in the Academic English class. In addition, I got the chance to know and practice more about Data Science and Machine Learning, making using these knowledge to deal with complex problems possible.</w:t>
      </w:r>
    </w:p>
    <w:p>
      <w:pPr>
        <w:widowControl/>
      </w:pPr>
      <w:r>
        <w:rPr>
          <w:rFonts w:hint="eastAsia"/>
        </w:rPr>
        <w:t>经过这个项目：我在学术英语课堂上提高了阅读和写作的技能。在Data Science 和Machine Learning 课程上学到的知识和开展的练习使我后续解决一些复杂难题成为了可能。</w:t>
      </w:r>
    </w:p>
    <w:p>
      <w:pPr>
        <w:widowControl/>
        <w:rPr>
          <w:rFonts w:ascii="Calibri" w:hAnsi="Calibri" w:eastAsia="Times New Roman" w:cs="Calibri"/>
          <w:color w:val="000000"/>
          <w:kern w:val="0"/>
          <w:sz w:val="22"/>
          <w:szCs w:val="22"/>
          <w:lang w:val="en-CA"/>
        </w:rPr>
      </w:pPr>
    </w:p>
    <w:p>
      <w:pPr>
        <w:widowControl/>
        <w:rPr>
          <w:rFonts w:hint="eastAsia"/>
        </w:rPr>
      </w:pPr>
      <w:r>
        <w:rPr>
          <w:rFonts w:hint="eastAsia"/>
        </w:rPr>
        <w:t>汪鑫 (江苏大学本科，</w:t>
      </w:r>
      <w:r>
        <w:rPr>
          <w:rFonts w:hint="eastAsia" w:ascii="宋体" w:hAnsi="宋体" w:cs="宋体"/>
          <w:color w:val="000000"/>
          <w:kern w:val="0"/>
          <w:sz w:val="22"/>
          <w:szCs w:val="22"/>
          <w:lang w:val="en-CA"/>
        </w:rPr>
        <w:t>重庆大学</w:t>
      </w:r>
      <w:r>
        <w:rPr>
          <w:rFonts w:hint="eastAsia"/>
        </w:rPr>
        <w:t>研究生就读)</w:t>
      </w:r>
    </w:p>
    <w:p>
      <w:pPr>
        <w:widowControl/>
        <w:rPr>
          <w:rFonts w:hint="eastAsia"/>
        </w:rPr>
      </w:pPr>
    </w:p>
    <w:p>
      <w:pPr>
        <w:rPr>
          <w:rFonts w:ascii="微软雅黑" w:hAnsi="微软雅黑" w:eastAsia="微软雅黑"/>
          <w:b/>
          <w:bCs/>
          <w:sz w:val="24"/>
        </w:rPr>
      </w:pPr>
      <w:r>
        <w:rPr>
          <w:rFonts w:hint="eastAsia" w:ascii="微软雅黑" w:hAnsi="微软雅黑" w:eastAsia="微软雅黑"/>
          <w:b/>
          <w:bCs/>
          <w:sz w:val="24"/>
        </w:rPr>
        <w:t>附件</w:t>
      </w:r>
      <w:r>
        <w:rPr>
          <w:rFonts w:ascii="微软雅黑" w:hAnsi="微软雅黑" w:eastAsia="微软雅黑"/>
          <w:b/>
          <w:bCs/>
          <w:sz w:val="24"/>
        </w:rPr>
        <w:t>(</w:t>
      </w:r>
      <w:r>
        <w:rPr>
          <w:rFonts w:hint="eastAsia" w:ascii="微软雅黑" w:hAnsi="微软雅黑" w:eastAsia="微软雅黑"/>
          <w:b/>
          <w:bCs/>
          <w:sz w:val="24"/>
        </w:rPr>
        <w:t>6</w:t>
      </w:r>
      <w:r>
        <w:rPr>
          <w:rFonts w:ascii="微软雅黑" w:hAnsi="微软雅黑" w:eastAsia="微软雅黑"/>
          <w:b/>
          <w:bCs/>
          <w:sz w:val="24"/>
        </w:rPr>
        <w:t>)</w:t>
      </w:r>
    </w:p>
    <w:p>
      <w:pPr>
        <w:rPr>
          <w:rFonts w:ascii="微软雅黑" w:hAnsi="微软雅黑" w:eastAsia="微软雅黑"/>
          <w:b/>
          <w:bCs/>
          <w:sz w:val="24"/>
        </w:rPr>
      </w:pPr>
      <w:r>
        <w:rPr>
          <w:rFonts w:hint="eastAsia" w:ascii="微软雅黑" w:hAnsi="微软雅黑" w:eastAsia="微软雅黑"/>
          <w:b/>
          <w:bCs/>
          <w:sz w:val="24"/>
        </w:rPr>
        <w:t>项目</w:t>
      </w:r>
      <w:r>
        <w:rPr>
          <w:rFonts w:hint="eastAsia" w:ascii="微软雅黑" w:hAnsi="微软雅黑" w:eastAsia="微软雅黑"/>
          <w:b/>
          <w:bCs/>
          <w:sz w:val="24"/>
          <w:lang w:eastAsia="zh-CN"/>
        </w:rPr>
        <w:t>课程</w:t>
      </w:r>
      <w:r>
        <w:rPr>
          <w:rFonts w:hint="eastAsia" w:ascii="微软雅黑" w:hAnsi="微软雅黑" w:eastAsia="微软雅黑"/>
          <w:b/>
          <w:bCs/>
          <w:sz w:val="24"/>
        </w:rPr>
        <w:t>介绍</w:t>
      </w: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学术论文写作训练</w:t>
      </w:r>
    </w:p>
    <w:p>
      <w:pPr>
        <w:ind w:left="840"/>
        <w:rPr>
          <w:rFonts w:ascii="Calibri" w:hAnsi="Calibri" w:eastAsia="微软雅黑" w:cs="Calibri"/>
          <w:sz w:val="22"/>
          <w:szCs w:val="22"/>
        </w:rPr>
      </w:pPr>
      <w:r>
        <w:rPr>
          <w:rFonts w:ascii="Calibri" w:hAnsi="Calibri" w:cs="Calibri"/>
          <w:b/>
          <w:bCs/>
          <w:color w:val="262626"/>
          <w:sz w:val="22"/>
          <w:szCs w:val="22"/>
          <w:shd w:val="clear" w:color="auto" w:fill="FFFFFF"/>
        </w:rPr>
        <w:t>Academic English with an Engineering focus：</w:t>
      </w:r>
      <w:r>
        <w:rPr>
          <w:rFonts w:ascii="Calibri" w:hAnsi="Calibri" w:cs="Calibri"/>
          <w:color w:val="262626"/>
          <w:sz w:val="22"/>
          <w:szCs w:val="22"/>
          <w:shd w:val="clear" w:color="auto" w:fill="FFFFFF"/>
        </w:rPr>
        <w:t>This program will provide students with the opportunity to meet the language facility requirement and help build the confidence needed to excel in an academic environment. In the Integrated Skills classes students will strengthen skills in academic reading, writing, listening, and speaking. Students will examine the techniques used in great works of literature and to incorporate them into writing</w:t>
      </w:r>
      <w:r>
        <w:rPr>
          <w:rFonts w:hint="eastAsia" w:ascii="Calibri" w:hAnsi="Calibri" w:cs="Calibri"/>
          <w:color w:val="262626"/>
          <w:sz w:val="22"/>
          <w:szCs w:val="22"/>
          <w:shd w:val="clear" w:color="auto" w:fill="FFFFFF"/>
        </w:rPr>
        <w:t>,</w:t>
      </w:r>
      <w:r>
        <w:rPr>
          <w:rFonts w:ascii="Calibri" w:hAnsi="Calibri" w:cs="Calibri"/>
          <w:color w:val="262626"/>
          <w:sz w:val="22"/>
          <w:szCs w:val="22"/>
          <w:shd w:val="clear" w:color="auto" w:fill="FFFFFF"/>
        </w:rPr>
        <w:t xml:space="preserve"> which will help students focus, polish and deepen their writing. Additionally, students will have one Project Day class a week which will give them a chance to use the skills from the Integrated Skills class to work collaboratively in a project-based learning environment.</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Produce complex and well-developed pieces of writing</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Build students’ academic speaking, listening, and reading skills</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Interact in an academic setting with confidence</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Develop communication skills necessary for academic success</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Demonstrate knowledge of university culture</w:t>
      </w:r>
    </w:p>
    <w:p>
      <w:pPr>
        <w:widowControl/>
        <w:numPr>
          <w:ilvl w:val="0"/>
          <w:numId w:val="8"/>
        </w:numPr>
        <w:spacing w:line="374" w:lineRule="atLeast"/>
        <w:jc w:val="left"/>
        <w:rPr>
          <w:rFonts w:ascii="Calibri" w:hAnsi="Calibri" w:cs="Calibri"/>
          <w:color w:val="000000"/>
          <w:sz w:val="22"/>
          <w:szCs w:val="22"/>
        </w:rPr>
      </w:pPr>
      <w:r>
        <w:rPr>
          <w:rFonts w:ascii="Calibri" w:hAnsi="Calibri" w:cs="Calibri"/>
          <w:color w:val="000000"/>
          <w:sz w:val="22"/>
          <w:szCs w:val="22"/>
        </w:rPr>
        <w:t>Develop strategies for delivering technical information such as Engineering topics to non-technical readers</w:t>
      </w:r>
    </w:p>
    <w:p>
      <w:pPr>
        <w:widowControl/>
        <w:spacing w:after="122" w:line="374" w:lineRule="atLeast"/>
        <w:ind w:left="1200"/>
        <w:jc w:val="left"/>
        <w:rPr>
          <w:rFonts w:ascii="Calibri" w:hAnsi="Calibri" w:eastAsia="Times New Roman" w:cs="Calibri"/>
          <w:color w:val="262626"/>
          <w:kern w:val="0"/>
          <w:sz w:val="22"/>
          <w:szCs w:val="22"/>
          <w:lang w:val="en-CA"/>
        </w:rPr>
      </w:pPr>
    </w:p>
    <w:p>
      <w:pPr>
        <w:pStyle w:val="8"/>
        <w:widowControl w:val="0"/>
        <w:numPr>
          <w:ilvl w:val="0"/>
          <w:numId w:val="7"/>
        </w:numPr>
        <w:spacing w:after="0" w:line="240" w:lineRule="auto"/>
        <w:jc w:val="both"/>
        <w:rPr>
          <w:rFonts w:ascii="微软雅黑" w:hAnsi="微软雅黑" w:eastAsia="微软雅黑"/>
        </w:rPr>
      </w:pPr>
      <w:r>
        <w:rPr>
          <w:rFonts w:hint="eastAsia" w:ascii="微软雅黑" w:hAnsi="微软雅黑" w:eastAsia="微软雅黑"/>
        </w:rPr>
        <w:t>批判性思维</w:t>
      </w:r>
    </w:p>
    <w:p>
      <w:pPr>
        <w:pStyle w:val="8"/>
        <w:spacing w:after="122" w:line="374" w:lineRule="atLeast"/>
        <w:ind w:left="840"/>
        <w:jc w:val="both"/>
        <w:rPr>
          <w:rFonts w:eastAsia="微软雅黑" w:cs="Calibri"/>
        </w:rPr>
      </w:pPr>
      <w:r>
        <w:rPr>
          <w:rFonts w:eastAsia="微软雅黑" w:cs="Calibri"/>
        </w:rPr>
        <w:t>Students identify and use critical thinking skills, processes and techniques that will assist them in their careers and personal lives. Students develop their ability to investigate and evaluate thinking from different viewpoints and synthesize their own positions based on the evidence available. Also, students practice techniques that enable them to maximize the results they create in any long-term learning experience, while identifying, analyzing and formulating solutions to problems as they arise.</w:t>
      </w:r>
    </w:p>
    <w:p>
      <w:pPr>
        <w:pStyle w:val="8"/>
        <w:spacing w:after="122" w:line="374" w:lineRule="atLeast"/>
        <w:ind w:left="840"/>
        <w:rPr>
          <w:rFonts w:eastAsia="Times New Roman" w:cs="Calibri"/>
          <w:color w:val="262626"/>
          <w:lang w:val="en-CA"/>
        </w:rPr>
      </w:pP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西方文化与文学</w:t>
      </w:r>
    </w:p>
    <w:p>
      <w:pPr>
        <w:ind w:left="840"/>
        <w:rPr>
          <w:rFonts w:ascii="Calibri" w:hAnsi="Calibri" w:eastAsia="Times New Roman" w:cs="Calibri"/>
          <w:color w:val="000000"/>
          <w:kern w:val="0"/>
          <w:sz w:val="22"/>
          <w:szCs w:val="22"/>
          <w:lang w:val="en-CA"/>
        </w:rPr>
      </w:pPr>
      <w:r>
        <w:rPr>
          <w:rStyle w:val="9"/>
          <w:rFonts w:ascii="Calibri" w:hAnsi="Calibri" w:cs="Calibri"/>
          <w:b/>
          <w:bCs/>
          <w:color w:val="000000"/>
          <w:sz w:val="22"/>
          <w:szCs w:val="22"/>
        </w:rPr>
        <w:t>Introduction to Literature and culture</w:t>
      </w:r>
      <w:r>
        <w:rPr>
          <w:rFonts w:ascii="Calibri" w:hAnsi="Calibri" w:cs="Calibri"/>
          <w:b/>
          <w:bCs/>
          <w:color w:val="000000"/>
          <w:sz w:val="22"/>
          <w:szCs w:val="22"/>
        </w:rPr>
        <w:t xml:space="preserve">: </w:t>
      </w:r>
    </w:p>
    <w:p>
      <w:pPr>
        <w:pStyle w:val="8"/>
        <w:widowControl w:val="0"/>
        <w:numPr>
          <w:ilvl w:val="0"/>
          <w:numId w:val="9"/>
        </w:numPr>
        <w:spacing w:after="0" w:line="240" w:lineRule="auto"/>
        <w:jc w:val="both"/>
        <w:rPr>
          <w:rFonts w:eastAsia="Times New Roman" w:cs="Calibri"/>
          <w:color w:val="000000"/>
          <w:lang w:val="en-CA"/>
        </w:rPr>
      </w:pPr>
      <w:r>
        <w:rPr>
          <w:rFonts w:cs="Calibri"/>
          <w:color w:val="000000"/>
        </w:rPr>
        <w:t>An introduction to British literature, exploring works in poetry, prose, and drama from early to recent times.</w:t>
      </w:r>
    </w:p>
    <w:p>
      <w:pPr>
        <w:pStyle w:val="8"/>
        <w:widowControl w:val="0"/>
        <w:numPr>
          <w:ilvl w:val="0"/>
          <w:numId w:val="9"/>
        </w:numPr>
        <w:spacing w:after="0" w:line="240" w:lineRule="auto"/>
        <w:jc w:val="both"/>
        <w:rPr>
          <w:rFonts w:eastAsia="Times New Roman" w:cs="Calibri"/>
          <w:color w:val="000000"/>
          <w:lang w:val="en-CA"/>
        </w:rPr>
      </w:pPr>
      <w:r>
        <w:rPr>
          <w:rFonts w:cs="Calibri"/>
          <w:color w:val="000000"/>
        </w:rPr>
        <w:t>An exploration of how recent literature in English responds to our world. Includes poetry, prose, and drama by major writers of the twentieth century and emerging writers of the current century.</w:t>
      </w:r>
    </w:p>
    <w:p>
      <w:pPr>
        <w:pStyle w:val="8"/>
        <w:widowControl w:val="0"/>
        <w:numPr>
          <w:ilvl w:val="0"/>
          <w:numId w:val="9"/>
        </w:numPr>
        <w:spacing w:after="0" w:line="240" w:lineRule="auto"/>
        <w:jc w:val="both"/>
        <w:rPr>
          <w:rFonts w:eastAsia="Times New Roman" w:cs="Calibri"/>
          <w:color w:val="000000"/>
          <w:lang w:val="en-CA"/>
        </w:rPr>
      </w:pPr>
      <w:r>
        <w:rPr>
          <w:rFonts w:eastAsia="Times New Roman" w:cs="Calibri"/>
          <w:color w:val="000000"/>
          <w:lang w:val="en-CA"/>
        </w:rPr>
        <w:t>focuses on similarities and differences between Chinese and Western cultures through a variety of cultural and literary materials. Students will further develop their language skills and cultural awareness through reading, writing, and translation.</w:t>
      </w:r>
    </w:p>
    <w:p>
      <w:pPr>
        <w:rPr>
          <w:rFonts w:ascii="微软雅黑" w:hAnsi="微软雅黑" w:eastAsia="微软雅黑"/>
          <w:sz w:val="22"/>
          <w:szCs w:val="22"/>
          <w:lang w:val="en-CA"/>
        </w:rPr>
      </w:pP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工程师职业素养及AI人工智能领域职业素养</w:t>
      </w:r>
    </w:p>
    <w:p>
      <w:pPr>
        <w:ind w:left="840"/>
        <w:rPr>
          <w:rFonts w:ascii="Calibri" w:hAnsi="Calibri" w:eastAsia="微软雅黑" w:cs="Calibri"/>
          <w:b/>
          <w:bCs/>
          <w:sz w:val="22"/>
          <w:szCs w:val="22"/>
        </w:rPr>
      </w:pPr>
      <w:r>
        <w:rPr>
          <w:rFonts w:ascii="Calibri" w:hAnsi="Calibri" w:eastAsia="微软雅黑" w:cs="Calibri"/>
          <w:b/>
          <w:bCs/>
          <w:sz w:val="22"/>
          <w:szCs w:val="22"/>
        </w:rPr>
        <w:t xml:space="preserve">Ethics for Engineers &amp; </w:t>
      </w:r>
      <w:r>
        <w:rPr>
          <w:rFonts w:ascii="Calibri" w:hAnsi="Calibri" w:eastAsia="微软雅黑" w:cs="Calibri"/>
          <w:b/>
          <w:bCs/>
          <w:sz w:val="22"/>
          <w:szCs w:val="22"/>
        </w:rPr>
        <w:fldChar w:fldCharType="begin"/>
      </w:r>
      <w:r>
        <w:rPr>
          <w:rFonts w:ascii="Calibri" w:hAnsi="Calibri" w:eastAsia="微软雅黑" w:cs="Calibri"/>
          <w:b/>
          <w:bCs/>
          <w:sz w:val="22"/>
          <w:szCs w:val="22"/>
        </w:rPr>
        <w:instrText xml:space="preserve"> HYPERLINK "http://ethics.utoronto.ca/topics-in-value-theory-ethics-of-artificial-intelligence-in-context-eth350h1y/" </w:instrText>
      </w:r>
      <w:r>
        <w:rPr>
          <w:rFonts w:ascii="Calibri" w:hAnsi="Calibri" w:eastAsia="微软雅黑" w:cs="Calibri"/>
          <w:b/>
          <w:bCs/>
          <w:sz w:val="22"/>
          <w:szCs w:val="22"/>
        </w:rPr>
        <w:fldChar w:fldCharType="separate"/>
      </w:r>
      <w:r>
        <w:rPr>
          <w:rFonts w:ascii="Calibri" w:hAnsi="Calibri" w:eastAsia="微软雅黑" w:cs="Calibri"/>
          <w:b/>
          <w:bCs/>
          <w:sz w:val="22"/>
          <w:szCs w:val="22"/>
        </w:rPr>
        <w:t>Ethics of Artificial Intelligence in Context</w:t>
      </w:r>
      <w:r>
        <w:rPr>
          <w:rFonts w:ascii="Calibri" w:hAnsi="Calibri" w:eastAsia="微软雅黑" w:cs="Calibri"/>
          <w:b/>
          <w:bCs/>
          <w:sz w:val="22"/>
          <w:szCs w:val="22"/>
        </w:rPr>
        <w:fldChar w:fldCharType="end"/>
      </w:r>
      <w:r>
        <w:rPr>
          <w:rFonts w:ascii="Calibri" w:hAnsi="Calibri" w:eastAsia="微软雅黑" w:cs="Calibri"/>
          <w:b/>
          <w:bCs/>
          <w:sz w:val="22"/>
          <w:szCs w:val="22"/>
        </w:rPr>
        <w:fldChar w:fldCharType="begin"/>
      </w:r>
      <w:r>
        <w:rPr>
          <w:rFonts w:ascii="Calibri" w:hAnsi="Calibri" w:eastAsia="微软雅黑" w:cs="Calibri"/>
          <w:b/>
          <w:bCs/>
          <w:sz w:val="22"/>
          <w:szCs w:val="22"/>
        </w:rPr>
        <w:instrText xml:space="preserve"> HYPERLINK "https://ethics.utoronto.ca/ethics-of-artificial-intelligence-in-context-eth1000y/" </w:instrText>
      </w:r>
      <w:r>
        <w:rPr>
          <w:rFonts w:ascii="Calibri" w:hAnsi="Calibri" w:eastAsia="微软雅黑" w:cs="Calibri"/>
          <w:b/>
          <w:bCs/>
          <w:sz w:val="22"/>
          <w:szCs w:val="22"/>
        </w:rPr>
        <w:fldChar w:fldCharType="separate"/>
      </w:r>
      <w:r>
        <w:rPr>
          <w:rFonts w:ascii="Calibri" w:hAnsi="Calibri" w:eastAsia="微软雅黑" w:cs="Calibri"/>
          <w:b/>
          <w:bCs/>
          <w:sz w:val="22"/>
          <w:szCs w:val="22"/>
        </w:rPr>
        <w:t> </w:t>
      </w:r>
      <w:r>
        <w:rPr>
          <w:rFonts w:ascii="Calibri" w:hAnsi="Calibri" w:eastAsia="微软雅黑" w:cs="Calibri"/>
          <w:b/>
          <w:bCs/>
          <w:sz w:val="22"/>
          <w:szCs w:val="22"/>
        </w:rPr>
        <w:fldChar w:fldCharType="end"/>
      </w:r>
    </w:p>
    <w:p>
      <w:pPr>
        <w:pStyle w:val="8"/>
        <w:widowControl w:val="0"/>
        <w:numPr>
          <w:ilvl w:val="0"/>
          <w:numId w:val="9"/>
        </w:numPr>
        <w:spacing w:after="0" w:line="240" w:lineRule="auto"/>
        <w:jc w:val="both"/>
        <w:rPr>
          <w:rFonts w:cs="Calibri"/>
          <w:color w:val="000000"/>
        </w:rPr>
      </w:pPr>
      <w:r>
        <w:rPr>
          <w:rFonts w:cs="Calibri"/>
          <w:color w:val="000000"/>
        </w:rPr>
        <w:t>This course will help students to achieve a common understanding of intellectual property (IP) law and to help prepare the graduating students for their future careers as licensed professional engineers and is intended for inclusion in upper years of study. Case studies and talks will be drawn and given from the experiences of recent graduates and other professionals working in the engineering profession.</w:t>
      </w:r>
    </w:p>
    <w:p>
      <w:pPr>
        <w:pStyle w:val="8"/>
        <w:widowControl w:val="0"/>
        <w:numPr>
          <w:ilvl w:val="0"/>
          <w:numId w:val="9"/>
        </w:numPr>
        <w:spacing w:after="0" w:line="240" w:lineRule="auto"/>
        <w:jc w:val="both"/>
        <w:rPr>
          <w:rFonts w:cs="Calibri"/>
          <w:color w:val="000000"/>
        </w:rPr>
      </w:pPr>
      <w:r>
        <w:rPr>
          <w:rFonts w:cs="Calibri"/>
          <w:color w:val="000000"/>
        </w:rPr>
        <w:t>This course will expose students to advanced methods employed in the analysis of ethical issues related to the production, dissemination, and application of AI in a variety of contexts. A diverse team of speakers from a range of disciplines and industry including, for instance, computer science; criminology; engineering; law; media studies; pharmaceutical, or political science, will model various methodological approaches and modes of analysis. Students will write short responses to specific presentations, and participate in group discussions of the scheduled guest lectures.</w:t>
      </w:r>
    </w:p>
    <w:p>
      <w:pPr>
        <w:ind w:left="840"/>
        <w:rPr>
          <w:rFonts w:ascii="Calibri" w:hAnsi="Calibri" w:eastAsia="微软雅黑" w:cs="Calibri"/>
          <w:sz w:val="22"/>
          <w:szCs w:val="22"/>
        </w:rPr>
      </w:pP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工程创新实践</w:t>
      </w:r>
    </w:p>
    <w:p>
      <w:pPr>
        <w:ind w:left="840"/>
        <w:rPr>
          <w:rFonts w:ascii="Calibri" w:hAnsi="Calibri" w:cs="Calibri"/>
          <w:color w:val="000000"/>
          <w:sz w:val="22"/>
          <w:szCs w:val="22"/>
          <w:shd w:val="clear" w:color="auto" w:fill="FFFFFF"/>
        </w:rPr>
      </w:pPr>
      <w:r>
        <w:rPr>
          <w:rFonts w:ascii="Calibri" w:hAnsi="Calibri" w:cs="Calibri"/>
          <w:b/>
          <w:bCs/>
          <w:color w:val="000000"/>
          <w:sz w:val="22"/>
          <w:szCs w:val="22"/>
          <w:lang w:val="en-CA"/>
        </w:rPr>
        <w:t>Technology Innovation and Entrepreneurship:</w:t>
      </w:r>
      <w:r>
        <w:rPr>
          <w:rFonts w:ascii="Calibri" w:hAnsi="Calibri" w:cs="Calibri"/>
          <w:color w:val="000000"/>
          <w:sz w:val="22"/>
          <w:szCs w:val="22"/>
          <w:shd w:val="clear" w:color="auto" w:fill="FFFFFF"/>
        </w:rPr>
        <w:t xml:space="preserve"> </w:t>
      </w:r>
    </w:p>
    <w:p>
      <w:pPr>
        <w:ind w:left="840"/>
        <w:rPr>
          <w:rFonts w:ascii="Calibri" w:hAnsi="Calibri" w:cs="Calibri"/>
          <w:b/>
          <w:bCs/>
          <w:color w:val="000000"/>
          <w:sz w:val="22"/>
          <w:szCs w:val="22"/>
          <w:lang w:val="en-CA"/>
        </w:rPr>
      </w:pPr>
      <w:r>
        <w:rPr>
          <w:rFonts w:ascii="Calibri" w:hAnsi="Calibri" w:cs="Calibri"/>
          <w:color w:val="000000"/>
          <w:sz w:val="22"/>
          <w:szCs w:val="22"/>
          <w:shd w:val="clear" w:color="auto" w:fill="FFFFFF"/>
        </w:rPr>
        <w:t>This course examines high-Tech innovation and entrepreneurship, principles of operation of successful high-tech enterprises, customer identification and validation, product development, business models, lean startup techniques, and financing of high-technology ventures by visiting companies in Toronto in related fields. Students will work in teams to develop their own innovative product idea, and will produce a sound business plan to support their product.</w:t>
      </w:r>
    </w:p>
    <w:p>
      <w:pPr>
        <w:ind w:left="1200"/>
        <w:rPr>
          <w:rFonts w:ascii="微软雅黑" w:hAnsi="微软雅黑" w:eastAsia="微软雅黑"/>
          <w:sz w:val="22"/>
          <w:szCs w:val="22"/>
        </w:rPr>
      </w:pP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领导力与创新</w:t>
      </w:r>
    </w:p>
    <w:p>
      <w:pPr>
        <w:ind w:left="840"/>
        <w:rPr>
          <w:rFonts w:ascii="Calibri" w:hAnsi="Calibri" w:cs="Calibri"/>
          <w:color w:val="000000"/>
          <w:sz w:val="22"/>
          <w:szCs w:val="22"/>
          <w:shd w:val="clear" w:color="auto" w:fill="FFFFFF"/>
        </w:rPr>
      </w:pPr>
      <w:r>
        <w:rPr>
          <w:rFonts w:ascii="Calibri" w:hAnsi="Calibri" w:cs="Calibri"/>
          <w:b/>
          <w:bCs/>
          <w:color w:val="000000"/>
          <w:sz w:val="22"/>
          <w:szCs w:val="22"/>
          <w:lang w:val="en-CA"/>
        </w:rPr>
        <w:t>Entrepreneurship and Business for Engineers:</w:t>
      </w:r>
      <w:r>
        <w:rPr>
          <w:rFonts w:ascii="Calibri" w:hAnsi="Calibri" w:cs="Calibri"/>
          <w:color w:val="000000"/>
          <w:sz w:val="22"/>
          <w:szCs w:val="22"/>
          <w:shd w:val="clear" w:color="auto" w:fill="FFFFFF"/>
        </w:rPr>
        <w:t xml:space="preserve"> </w:t>
      </w:r>
    </w:p>
    <w:p>
      <w:pPr>
        <w:ind w:left="840"/>
        <w:rPr>
          <w:rFonts w:ascii="Calibri" w:hAnsi="Calibri" w:cs="Calibri"/>
          <w:color w:val="000000"/>
          <w:sz w:val="22"/>
          <w:szCs w:val="22"/>
        </w:rPr>
      </w:pPr>
      <w:r>
        <w:rPr>
          <w:rFonts w:ascii="Calibri" w:hAnsi="Calibri" w:cs="Calibri"/>
          <w:color w:val="000000"/>
          <w:sz w:val="22"/>
          <w:szCs w:val="22"/>
          <w:shd w:val="clear" w:color="auto" w:fill="FFFFFF"/>
        </w:rPr>
        <w:t xml:space="preserve">A complete introduction to small business formation, management and wealth creation. Topics include: the nature of the Entrepreneur and the Canadian business environment; business idea search and Business Plan construction; Buying a business, franchising, taking over a family business; Market research and sources of data; Marketing strategies promotion, pricing, advertising, electronic channels and costing; The sales process and management, distribution channels and global marketing; Accounting, financing and analysis, sources of funding, and financial controls; The people dimension: management styles, recruiting and hiring, legal issues in employment and Human Resources; Legal forms of organization and business formation, taxation, intellectual property protection; the e-Business world and how businesses participate; Managing the business: location and equipping the business, suppliers and purchasing, credit, ethical dealing; Exiting the business and succession, selling out. </w:t>
      </w:r>
      <w:r>
        <w:rPr>
          <w:rFonts w:ascii="Calibri" w:hAnsi="Calibri" w:cs="Calibri"/>
          <w:color w:val="000000"/>
          <w:sz w:val="22"/>
          <w:szCs w:val="22"/>
        </w:rPr>
        <w:t xml:space="preserve">Several industry visitors are invited to provide the student with the opportunity to meet real entrepreneurs. There will be several assignments and a session project. </w:t>
      </w:r>
    </w:p>
    <w:p>
      <w:pPr>
        <w:ind w:left="1710"/>
        <w:rPr>
          <w:rFonts w:ascii="Calibri" w:hAnsi="Calibri" w:cs="Calibri"/>
          <w:color w:val="000000"/>
          <w:sz w:val="22"/>
          <w:szCs w:val="22"/>
        </w:rPr>
      </w:pPr>
    </w:p>
    <w:p>
      <w:pPr>
        <w:numPr>
          <w:ilvl w:val="0"/>
          <w:numId w:val="7"/>
        </w:numPr>
        <w:rPr>
          <w:rFonts w:ascii="微软雅黑" w:hAnsi="微软雅黑" w:eastAsia="微软雅黑"/>
          <w:sz w:val="22"/>
          <w:szCs w:val="22"/>
        </w:rPr>
      </w:pPr>
      <w:r>
        <w:rPr>
          <w:rFonts w:hint="eastAsia" w:ascii="微软雅黑" w:hAnsi="微软雅黑" w:eastAsia="微软雅黑"/>
          <w:sz w:val="22"/>
          <w:szCs w:val="22"/>
        </w:rPr>
        <w:t>数据科学基础(大数据)</w:t>
      </w:r>
    </w:p>
    <w:p>
      <w:pPr>
        <w:ind w:left="840"/>
        <w:rPr>
          <w:rFonts w:ascii="Calibri" w:hAnsi="Calibri" w:eastAsia="微软雅黑" w:cs="Calibri"/>
          <w:b/>
          <w:bCs/>
          <w:sz w:val="22"/>
          <w:szCs w:val="22"/>
        </w:rPr>
      </w:pPr>
      <w:r>
        <w:rPr>
          <w:rFonts w:ascii="Calibri" w:hAnsi="Calibri" w:eastAsia="微软雅黑" w:cs="Calibri"/>
          <w:b/>
          <w:bCs/>
          <w:sz w:val="22"/>
          <w:szCs w:val="22"/>
        </w:rPr>
        <w:t>Foundations of Data Science:</w:t>
      </w:r>
    </w:p>
    <w:p>
      <w:pPr>
        <w:ind w:left="840"/>
        <w:rPr>
          <w:rFonts w:ascii="Calibri" w:hAnsi="Calibri" w:eastAsia="微软雅黑" w:cs="Calibri"/>
          <w:sz w:val="22"/>
          <w:szCs w:val="22"/>
        </w:rPr>
      </w:pPr>
      <w:r>
        <w:rPr>
          <w:rFonts w:ascii="Calibri" w:hAnsi="Calibri" w:cs="Calibri"/>
          <w:color w:val="262626"/>
          <w:sz w:val="22"/>
          <w:szCs w:val="22"/>
        </w:rPr>
        <w:t>Students will learn how to help organizations leverage the increasing variety and volume of data they own or can find on the Internet. Students will explore the evolution of the fields of data science and predictive analytics. Students will learn up-to-date techniques for data retrieval, preparation, analysis and visualization. Through hands-on exercises, students will build critical programming skills students can use in subsequent courses in the certificate program.</w:t>
      </w:r>
    </w:p>
    <w:p>
      <w:pPr>
        <w:pStyle w:val="8"/>
        <w:widowControl w:val="0"/>
        <w:numPr>
          <w:ilvl w:val="0"/>
          <w:numId w:val="9"/>
        </w:numPr>
        <w:spacing w:after="0" w:line="240" w:lineRule="auto"/>
        <w:jc w:val="both"/>
        <w:rPr>
          <w:rFonts w:cs="Calibri"/>
          <w:color w:val="000000"/>
          <w:kern w:val="2"/>
        </w:rPr>
      </w:pPr>
      <w:r>
        <w:rPr>
          <w:rFonts w:cs="Calibri"/>
          <w:color w:val="000000"/>
          <w:kern w:val="2"/>
        </w:rPr>
        <w:t>Understand the basic techniques, evolution and promise of data science</w:t>
      </w:r>
    </w:p>
    <w:p>
      <w:pPr>
        <w:pStyle w:val="8"/>
        <w:widowControl w:val="0"/>
        <w:numPr>
          <w:ilvl w:val="0"/>
          <w:numId w:val="9"/>
        </w:numPr>
        <w:spacing w:after="0" w:line="240" w:lineRule="auto"/>
        <w:jc w:val="both"/>
        <w:rPr>
          <w:rFonts w:cs="Calibri"/>
          <w:color w:val="000000"/>
          <w:kern w:val="2"/>
        </w:rPr>
      </w:pPr>
      <w:r>
        <w:rPr>
          <w:rFonts w:cs="Calibri"/>
          <w:color w:val="000000"/>
          <w:kern w:val="2"/>
        </w:rPr>
        <w:t>Build hands-on skills in programming languages such as Python and SQL</w:t>
      </w:r>
    </w:p>
    <w:p>
      <w:pPr>
        <w:pStyle w:val="8"/>
        <w:widowControl w:val="0"/>
        <w:numPr>
          <w:ilvl w:val="0"/>
          <w:numId w:val="9"/>
        </w:numPr>
        <w:spacing w:after="0" w:line="240" w:lineRule="auto"/>
        <w:jc w:val="both"/>
        <w:rPr>
          <w:rFonts w:cs="Calibri"/>
          <w:color w:val="000000"/>
          <w:kern w:val="2"/>
        </w:rPr>
      </w:pPr>
      <w:r>
        <w:rPr>
          <w:rFonts w:cs="Calibri"/>
          <w:color w:val="000000"/>
          <w:kern w:val="2"/>
        </w:rPr>
        <w:t>Know statistical concepts and techniques including regression, correlation and clustering.</w:t>
      </w:r>
    </w:p>
    <w:p>
      <w:pPr>
        <w:pStyle w:val="8"/>
        <w:widowControl w:val="0"/>
        <w:numPr>
          <w:ilvl w:val="0"/>
          <w:numId w:val="9"/>
        </w:numPr>
        <w:spacing w:after="0" w:line="240" w:lineRule="auto"/>
        <w:jc w:val="both"/>
        <w:rPr>
          <w:rFonts w:cs="Calibri"/>
          <w:color w:val="000000"/>
          <w:kern w:val="2"/>
        </w:rPr>
      </w:pPr>
      <w:r>
        <w:rPr>
          <w:rFonts w:cs="Calibri"/>
          <w:color w:val="000000"/>
          <w:kern w:val="2"/>
        </w:rPr>
        <w:t>Extract data from databases, websites and social media</w:t>
      </w:r>
    </w:p>
    <w:p>
      <w:pPr>
        <w:pStyle w:val="8"/>
        <w:widowControl w:val="0"/>
        <w:numPr>
          <w:ilvl w:val="0"/>
          <w:numId w:val="9"/>
        </w:numPr>
        <w:spacing w:after="0" w:line="240" w:lineRule="auto"/>
        <w:jc w:val="both"/>
        <w:rPr>
          <w:rFonts w:cs="Calibri"/>
          <w:color w:val="000000"/>
          <w:kern w:val="2"/>
        </w:rPr>
      </w:pPr>
      <w:r>
        <w:rPr>
          <w:rFonts w:cs="Calibri"/>
          <w:color w:val="000000"/>
          <w:kern w:val="2"/>
        </w:rPr>
        <w:t>Adopt techniques and technologies including data mining, neural network mapping and machine learning.</w:t>
      </w:r>
    </w:p>
    <w:p>
      <w:pPr>
        <w:pStyle w:val="8"/>
        <w:widowControl w:val="0"/>
        <w:numPr>
          <w:ilvl w:val="0"/>
          <w:numId w:val="9"/>
        </w:numPr>
        <w:spacing w:after="0" w:line="240" w:lineRule="auto"/>
        <w:jc w:val="both"/>
        <w:rPr>
          <w:rFonts w:cs="Calibri"/>
          <w:color w:val="000000"/>
          <w:kern w:val="2"/>
        </w:rPr>
      </w:pPr>
      <w:r>
        <w:rPr>
          <w:rFonts w:hint="eastAsia" w:cs="Calibri"/>
          <w:color w:val="000000"/>
          <w:kern w:val="2"/>
          <w:lang w:eastAsia="zh-CN"/>
        </w:rPr>
        <w:t>Introduce</w:t>
      </w:r>
      <w:r>
        <w:rPr>
          <w:rFonts w:cs="Calibri"/>
          <w:color w:val="000000"/>
          <w:kern w:val="2"/>
        </w:rPr>
        <w:t xml:space="preserve"> tools like Hadoop, Spark, Cassandra and Kafka.</w:t>
      </w:r>
    </w:p>
    <w:p>
      <w:pPr>
        <w:pStyle w:val="8"/>
        <w:widowControl w:val="0"/>
        <w:numPr>
          <w:ilvl w:val="0"/>
          <w:numId w:val="9"/>
        </w:numPr>
        <w:spacing w:after="0" w:line="240" w:lineRule="auto"/>
        <w:jc w:val="both"/>
        <w:rPr>
          <w:rFonts w:cs="Calibri"/>
          <w:color w:val="000000"/>
        </w:rPr>
      </w:pPr>
      <w:r>
        <w:rPr>
          <w:rFonts w:cs="Calibri"/>
          <w:color w:val="000000"/>
          <w:kern w:val="2"/>
        </w:rPr>
        <w:t>Represent big data findings visually to aid decision-makers.</w:t>
      </w:r>
    </w:p>
    <w:p>
      <w:pPr>
        <w:pStyle w:val="8"/>
        <w:ind w:left="1200"/>
        <w:rPr>
          <w:rFonts w:cs="Calibri"/>
          <w:color w:val="000000"/>
          <w:kern w:val="2"/>
        </w:rPr>
      </w:pPr>
    </w:p>
    <w:p>
      <w:pPr>
        <w:numPr>
          <w:ilvl w:val="0"/>
          <w:numId w:val="7"/>
        </w:numPr>
        <w:rPr>
          <w:rFonts w:ascii="Helvetica" w:hAnsi="Helvetica"/>
          <w:color w:val="000000"/>
          <w:sz w:val="20"/>
          <w:szCs w:val="20"/>
        </w:rPr>
      </w:pPr>
      <w:r>
        <w:rPr>
          <w:rFonts w:hint="eastAsia" w:ascii="微软雅黑" w:hAnsi="微软雅黑" w:eastAsia="微软雅黑"/>
          <w:sz w:val="22"/>
          <w:szCs w:val="22"/>
        </w:rPr>
        <w:t>机器学习与人工智能</w:t>
      </w:r>
    </w:p>
    <w:p>
      <w:pPr>
        <w:ind w:left="840"/>
        <w:rPr>
          <w:rFonts w:ascii="Calibri" w:hAnsi="Calibri" w:cs="Calibri"/>
          <w:color w:val="000000"/>
          <w:sz w:val="22"/>
          <w:szCs w:val="22"/>
        </w:rPr>
      </w:pPr>
      <w:r>
        <w:rPr>
          <w:rStyle w:val="9"/>
          <w:rFonts w:ascii="Calibri" w:hAnsi="Calibri" w:cs="Calibri"/>
          <w:b/>
          <w:bCs/>
          <w:sz w:val="22"/>
          <w:szCs w:val="22"/>
        </w:rPr>
        <w:t>Introduction to Machine Learning:</w:t>
      </w:r>
      <w:r>
        <w:rPr>
          <w:rFonts w:ascii="Calibri" w:hAnsi="Calibri" w:cs="Calibri"/>
          <w:color w:val="000000"/>
          <w:sz w:val="22"/>
          <w:szCs w:val="22"/>
        </w:rPr>
        <w:t xml:space="preserve"> </w:t>
      </w:r>
    </w:p>
    <w:p>
      <w:pPr>
        <w:ind w:left="840"/>
        <w:rPr>
          <w:rFonts w:ascii="Calibri" w:hAnsi="Calibri" w:cs="Calibri"/>
          <w:color w:val="000000"/>
          <w:sz w:val="22"/>
          <w:szCs w:val="22"/>
        </w:rPr>
      </w:pPr>
      <w:r>
        <w:rPr>
          <w:rFonts w:ascii="Calibri" w:hAnsi="Calibri" w:cs="Calibri"/>
          <w:color w:val="000000"/>
          <w:sz w:val="22"/>
          <w:szCs w:val="22"/>
        </w:rPr>
        <w:t>An introduction to methods for automated learning of relationships on the basis of empirical data. Classification and regression using nearest neighbour methods, decision trees, linear models, and neural networks. Clustering algorithms. Problems of overfitting and of assessing accuracy. Basics of reinforcement learning.</w:t>
      </w:r>
    </w:p>
    <w:p>
      <w:pPr>
        <w:pStyle w:val="8"/>
        <w:widowControl w:val="0"/>
        <w:numPr>
          <w:ilvl w:val="0"/>
          <w:numId w:val="9"/>
        </w:numPr>
        <w:spacing w:after="0" w:line="240" w:lineRule="auto"/>
        <w:jc w:val="both"/>
        <w:rPr>
          <w:rFonts w:cs="Calibri"/>
          <w:color w:val="000000"/>
        </w:rPr>
      </w:pPr>
      <w:r>
        <w:rPr>
          <w:rFonts w:cs="Calibri"/>
          <w:color w:val="000000"/>
        </w:rPr>
        <w:t>Find correlations between variables in a dataset.</w:t>
      </w:r>
    </w:p>
    <w:p>
      <w:pPr>
        <w:pStyle w:val="8"/>
        <w:widowControl w:val="0"/>
        <w:numPr>
          <w:ilvl w:val="0"/>
          <w:numId w:val="9"/>
        </w:numPr>
        <w:spacing w:after="0" w:line="240" w:lineRule="auto"/>
        <w:jc w:val="both"/>
        <w:rPr>
          <w:rFonts w:cs="Calibri"/>
          <w:color w:val="000000"/>
        </w:rPr>
      </w:pPr>
      <w:r>
        <w:rPr>
          <w:rFonts w:cs="Calibri"/>
          <w:color w:val="000000"/>
        </w:rPr>
        <w:t>Identify clusters in data such as market segments.</w:t>
      </w:r>
    </w:p>
    <w:p>
      <w:pPr>
        <w:pStyle w:val="8"/>
        <w:widowControl w:val="0"/>
        <w:numPr>
          <w:ilvl w:val="0"/>
          <w:numId w:val="9"/>
        </w:numPr>
        <w:spacing w:after="0" w:line="240" w:lineRule="auto"/>
        <w:jc w:val="both"/>
        <w:rPr>
          <w:rFonts w:cs="Calibri"/>
          <w:color w:val="000000"/>
        </w:rPr>
      </w:pPr>
      <w:r>
        <w:rPr>
          <w:rFonts w:cs="Calibri"/>
          <w:color w:val="000000"/>
        </w:rPr>
        <w:t>Predict future outcomes based on hidden relationships in historical data.</w:t>
      </w:r>
    </w:p>
    <w:p>
      <w:pPr>
        <w:pStyle w:val="8"/>
        <w:widowControl w:val="0"/>
        <w:numPr>
          <w:ilvl w:val="0"/>
          <w:numId w:val="9"/>
        </w:numPr>
        <w:spacing w:after="0" w:line="240" w:lineRule="auto"/>
        <w:jc w:val="both"/>
        <w:rPr>
          <w:rFonts w:cs="Calibri"/>
          <w:color w:val="000000"/>
        </w:rPr>
      </w:pPr>
      <w:r>
        <w:rPr>
          <w:rFonts w:cs="Calibri"/>
          <w:color w:val="000000"/>
        </w:rPr>
        <w:t>Use tools to classify events or observations by type.</w:t>
      </w:r>
    </w:p>
    <w:p>
      <w:pPr>
        <w:pStyle w:val="8"/>
        <w:widowControl w:val="0"/>
        <w:numPr>
          <w:ilvl w:val="0"/>
          <w:numId w:val="9"/>
        </w:numPr>
        <w:spacing w:after="0" w:line="240" w:lineRule="auto"/>
        <w:jc w:val="both"/>
        <w:rPr>
          <w:rFonts w:cs="Calibri"/>
          <w:color w:val="000000"/>
        </w:rPr>
      </w:pPr>
      <w:r>
        <w:rPr>
          <w:rFonts w:cs="Calibri"/>
          <w:color w:val="000000"/>
        </w:rPr>
        <w:t>Evaluate and combine models for best performance</w:t>
      </w:r>
    </w:p>
    <w:p>
      <w:pPr>
        <w:ind w:left="840"/>
        <w:rPr>
          <w:rFonts w:ascii="Calibri" w:hAnsi="Calibri" w:cs="Calibri"/>
          <w:b/>
          <w:bCs/>
          <w:color w:val="000000"/>
          <w:sz w:val="22"/>
          <w:szCs w:val="22"/>
        </w:rPr>
      </w:pPr>
    </w:p>
    <w:p>
      <w:pPr>
        <w:numPr>
          <w:ilvl w:val="0"/>
          <w:numId w:val="7"/>
        </w:numPr>
        <w:rPr>
          <w:rFonts w:ascii="Calibri" w:hAnsi="Calibri" w:cs="Calibri"/>
          <w:b/>
          <w:bCs/>
          <w:color w:val="000000"/>
          <w:sz w:val="22"/>
          <w:szCs w:val="22"/>
        </w:rPr>
      </w:pPr>
      <w:r>
        <w:rPr>
          <w:rFonts w:hint="eastAsia" w:ascii="微软雅黑" w:hAnsi="微软雅黑" w:eastAsia="微软雅黑"/>
          <w:sz w:val="22"/>
          <w:szCs w:val="22"/>
        </w:rPr>
        <w:t>人工智能</w:t>
      </w:r>
    </w:p>
    <w:p>
      <w:pPr>
        <w:ind w:left="840"/>
        <w:rPr>
          <w:rFonts w:ascii="Calibri" w:hAnsi="Calibri" w:cs="Calibri"/>
          <w:color w:val="000000"/>
          <w:sz w:val="22"/>
          <w:szCs w:val="22"/>
        </w:rPr>
      </w:pPr>
      <w:r>
        <w:rPr>
          <w:rStyle w:val="9"/>
          <w:rFonts w:ascii="Calibri" w:hAnsi="Calibri" w:cs="Calibri"/>
          <w:b/>
          <w:bCs/>
          <w:color w:val="000000"/>
          <w:sz w:val="22"/>
          <w:szCs w:val="22"/>
        </w:rPr>
        <w:t>Intelligence, Artificial and Human</w:t>
      </w:r>
      <w:r>
        <w:rPr>
          <w:rFonts w:ascii="Calibri" w:hAnsi="Calibri" w:cs="Calibri"/>
          <w:color w:val="000000"/>
          <w:sz w:val="22"/>
          <w:szCs w:val="22"/>
        </w:rPr>
        <w:t xml:space="preserve">: </w:t>
      </w:r>
    </w:p>
    <w:p>
      <w:pPr>
        <w:ind w:left="840"/>
        <w:rPr>
          <w:rFonts w:ascii="Calibri" w:hAnsi="Calibri" w:cs="Calibri"/>
          <w:color w:val="000000"/>
          <w:sz w:val="22"/>
          <w:szCs w:val="22"/>
          <w:lang w:val="en-CA"/>
        </w:rPr>
      </w:pPr>
      <w:r>
        <w:rPr>
          <w:rFonts w:ascii="Calibri" w:hAnsi="Calibri" w:cs="Calibri"/>
          <w:color w:val="000000"/>
          <w:sz w:val="22"/>
          <w:szCs w:val="22"/>
        </w:rPr>
        <w:t xml:space="preserve">What is human intelligence? How close are we to replicating it? How productive/reductive is the brain-computer analogy? What ethical challenges are posed by AI on workers, society, and the environment? Can we put a hold on "progress"? Is Silicon Valley the seat of a new techno-religion? What can they teach us about today's research priorities? What insight (or inspiration) can we get from works of science fiction about the future of human-AI interaction? Through reading discussion, written assignment, and workshops, this course will present students with the opportunity to integrate their computer science interests with philosophy, history, and literature. </w:t>
      </w:r>
      <w:r>
        <w:rPr>
          <w:rFonts w:ascii="Calibri" w:hAnsi="Calibri" w:cs="Calibri"/>
          <w:color w:val="000000"/>
          <w:sz w:val="22"/>
          <w:szCs w:val="22"/>
          <w:lang w:val="en-CA"/>
        </w:rPr>
        <w:t>Students will be able to implement neural networks to perform classi_cation on image, text, and other types of data. Students will also have a high-level understanding</w:t>
      </w:r>
    </w:p>
    <w:p>
      <w:pPr>
        <w:ind w:left="840"/>
        <w:rPr>
          <w:rFonts w:ascii="Calibri" w:hAnsi="Calibri" w:cs="Calibri"/>
          <w:color w:val="000000"/>
          <w:sz w:val="22"/>
          <w:szCs w:val="22"/>
        </w:rPr>
      </w:pPr>
      <w:r>
        <w:rPr>
          <w:rFonts w:ascii="Calibri" w:hAnsi="Calibri" w:cs="Calibri"/>
          <w:color w:val="000000"/>
          <w:sz w:val="22"/>
          <w:szCs w:val="22"/>
          <w:lang w:val="en-CA"/>
        </w:rPr>
        <w:t>of neural network models used to generate images,</w:t>
      </w:r>
    </w:p>
    <w:p>
      <w:pPr>
        <w:pStyle w:val="8"/>
        <w:widowControl w:val="0"/>
        <w:numPr>
          <w:ilvl w:val="0"/>
          <w:numId w:val="9"/>
        </w:numPr>
        <w:spacing w:after="0" w:line="240" w:lineRule="auto"/>
        <w:jc w:val="both"/>
        <w:rPr>
          <w:rFonts w:cs="Calibri"/>
          <w:color w:val="000000"/>
          <w:kern w:val="2"/>
        </w:rPr>
      </w:pPr>
      <w:r>
        <w:rPr>
          <w:rFonts w:cs="Calibri"/>
          <w:color w:val="000000"/>
        </w:rPr>
        <w:t>Explore all modern branches of AI, from deep learning using neural nets to reinforcement learning.</w:t>
      </w:r>
    </w:p>
    <w:p>
      <w:pPr>
        <w:pStyle w:val="8"/>
        <w:widowControl w:val="0"/>
        <w:numPr>
          <w:ilvl w:val="0"/>
          <w:numId w:val="9"/>
        </w:numPr>
        <w:spacing w:after="0" w:line="240" w:lineRule="auto"/>
        <w:jc w:val="both"/>
        <w:rPr>
          <w:rFonts w:cs="Calibri"/>
          <w:color w:val="000000"/>
        </w:rPr>
      </w:pPr>
      <w:r>
        <w:rPr>
          <w:rFonts w:cs="Calibri"/>
          <w:color w:val="000000"/>
        </w:rPr>
        <w:t>Understand how to use AI to address urgent business and social issues.</w:t>
      </w:r>
    </w:p>
    <w:p>
      <w:pPr>
        <w:pStyle w:val="8"/>
        <w:widowControl w:val="0"/>
        <w:numPr>
          <w:ilvl w:val="0"/>
          <w:numId w:val="9"/>
        </w:numPr>
        <w:spacing w:after="0" w:line="240" w:lineRule="auto"/>
        <w:jc w:val="both"/>
        <w:rPr>
          <w:rFonts w:cs="Calibri"/>
          <w:color w:val="000000"/>
        </w:rPr>
      </w:pPr>
      <w:r>
        <w:rPr>
          <w:rFonts w:cs="Calibri"/>
          <w:color w:val="000000"/>
        </w:rPr>
        <w:t>Develop innovative industrial, commercial and government applications.</w:t>
      </w:r>
    </w:p>
    <w:p>
      <w:pPr>
        <w:pStyle w:val="8"/>
        <w:widowControl w:val="0"/>
        <w:numPr>
          <w:ilvl w:val="0"/>
          <w:numId w:val="9"/>
        </w:numPr>
        <w:spacing w:after="0" w:line="240" w:lineRule="auto"/>
        <w:jc w:val="both"/>
        <w:rPr>
          <w:rFonts w:cs="Calibri"/>
          <w:color w:val="000000"/>
        </w:rPr>
      </w:pPr>
      <w:r>
        <w:rPr>
          <w:rFonts w:cs="Calibri"/>
          <w:color w:val="000000"/>
        </w:rPr>
        <w:t>Introduce AI to your workplace or further its development there.</w:t>
      </w:r>
    </w:p>
    <w:p>
      <w:pPr>
        <w:pStyle w:val="8"/>
        <w:widowControl w:val="0"/>
        <w:numPr>
          <w:ilvl w:val="0"/>
          <w:numId w:val="9"/>
        </w:numPr>
        <w:spacing w:after="0" w:line="240" w:lineRule="auto"/>
        <w:jc w:val="both"/>
        <w:rPr>
          <w:rFonts w:hint="eastAsia" w:cs="Calibri"/>
          <w:color w:val="000000"/>
        </w:rPr>
      </w:pPr>
      <w:r>
        <w:rPr>
          <w:rFonts w:cs="Calibri"/>
          <w:color w:val="000000"/>
        </w:rPr>
        <w:t>Understand Canada’s cutting-edge AI marketplace – and where you fit best.</w:t>
      </w:r>
    </w:p>
    <w:p>
      <w:pPr>
        <w:widowControl/>
        <w:rPr>
          <w:rFonts w:hint="eastAsia"/>
        </w:rPr>
      </w:pPr>
    </w:p>
    <w:p>
      <w:pPr>
        <w:rPr>
          <w:rFonts w:ascii="微软雅黑" w:hAnsi="微软雅黑" w:eastAsia="微软雅黑"/>
          <w:b/>
          <w:bCs/>
          <w:sz w:val="22"/>
          <w:szCs w:val="22"/>
        </w:rPr>
      </w:pPr>
      <w:r>
        <w:rPr>
          <w:rFonts w:hint="eastAsia" w:ascii="微软雅黑" w:hAnsi="微软雅黑" w:eastAsia="微软雅黑"/>
          <w:b/>
          <w:bCs/>
          <w:sz w:val="22"/>
          <w:szCs w:val="22"/>
        </w:rPr>
        <w:t>附件(7</w:t>
      </w:r>
      <w:r>
        <w:rPr>
          <w:rFonts w:ascii="微软雅黑" w:hAnsi="微软雅黑" w:eastAsia="微软雅黑"/>
          <w:b/>
          <w:bCs/>
          <w:sz w:val="22"/>
          <w:szCs w:val="22"/>
        </w:rPr>
        <w:t>)</w:t>
      </w:r>
    </w:p>
    <w:p>
      <w:pPr>
        <w:rPr>
          <w:rFonts w:hint="eastAsia" w:ascii="微软雅黑" w:hAnsi="微软雅黑" w:eastAsia="微软雅黑"/>
          <w:b/>
          <w:bCs/>
          <w:sz w:val="22"/>
          <w:szCs w:val="22"/>
        </w:rPr>
      </w:pPr>
      <w:r>
        <w:rPr>
          <w:rFonts w:hint="eastAsia" w:ascii="微软雅黑" w:hAnsi="微软雅黑" w:eastAsia="微软雅黑"/>
          <w:b/>
          <w:bCs/>
          <w:sz w:val="22"/>
          <w:szCs w:val="22"/>
        </w:rPr>
        <w:t>多伦多大学文理学院学习记录</w:t>
      </w:r>
    </w:p>
    <w:p>
      <w:pPr>
        <w:spacing w:line="360" w:lineRule="auto"/>
        <w:rPr>
          <w:rFonts w:ascii="宋体" w:hAnsi="宋体"/>
          <w:b/>
          <w:sz w:val="24"/>
          <w:lang w:val="en-CA"/>
        </w:rPr>
      </w:pPr>
      <w:r>
        <w:drawing>
          <wp:inline distT="0" distB="0" distL="114300" distR="114300">
            <wp:extent cx="5724525" cy="7229475"/>
            <wp:effectExtent l="0" t="0" r="9525" b="952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1"/>
                    <a:stretch>
                      <a:fillRect/>
                    </a:stretch>
                  </pic:blipFill>
                  <pic:spPr>
                    <a:xfrm>
                      <a:off x="0" y="0"/>
                      <a:ext cx="5724525" cy="7229475"/>
                    </a:xfrm>
                    <a:prstGeom prst="rect">
                      <a:avLst/>
                    </a:prstGeom>
                    <a:noFill/>
                    <a:ln>
                      <a:noFill/>
                    </a:ln>
                  </pic:spPr>
                </pic:pic>
              </a:graphicData>
            </a:graphic>
          </wp:inline>
        </w:drawing>
      </w:r>
    </w:p>
    <w:p>
      <w:pPr>
        <w:spacing w:line="360" w:lineRule="auto"/>
        <w:rPr>
          <w:rFonts w:ascii="宋体" w:hAnsi="宋体"/>
          <w:b/>
          <w:sz w:val="24"/>
          <w:lang w:val="en-CA"/>
        </w:rPr>
      </w:pPr>
    </w:p>
    <w:p>
      <w:pPr>
        <w:spacing w:line="360" w:lineRule="auto"/>
        <w:rPr>
          <w:rFonts w:ascii="宋体" w:hAnsi="宋体"/>
          <w:b/>
          <w:sz w:val="24"/>
          <w:lang w:val="en-CA"/>
        </w:rPr>
      </w:pPr>
    </w:p>
    <w:p>
      <w:pPr>
        <w:spacing w:line="360" w:lineRule="auto"/>
        <w:rPr>
          <w:rFonts w:hint="eastAsia" w:ascii="微软雅黑" w:hAnsi="微软雅黑" w:eastAsia="微软雅黑"/>
          <w:b/>
          <w:bCs/>
          <w:sz w:val="22"/>
          <w:szCs w:val="22"/>
        </w:rPr>
      </w:pPr>
      <w:r>
        <w:rPr>
          <w:rFonts w:hint="eastAsia" w:ascii="微软雅黑" w:hAnsi="微软雅黑" w:eastAsia="微软雅黑"/>
          <w:b/>
          <w:bCs/>
          <w:sz w:val="22"/>
          <w:szCs w:val="22"/>
        </w:rPr>
        <w:t>多伦多大学项目学习结业证书</w:t>
      </w:r>
    </w:p>
    <w:p>
      <w:pPr>
        <w:spacing w:line="360" w:lineRule="auto"/>
        <w:jc w:val="center"/>
        <w:rPr>
          <w:rFonts w:ascii="宋体" w:hAnsi="宋体"/>
          <w:b/>
          <w:sz w:val="24"/>
          <w:lang w:val="en-CA"/>
        </w:rPr>
      </w:pPr>
      <w:r>
        <w:drawing>
          <wp:inline distT="0" distB="0" distL="114300" distR="114300">
            <wp:extent cx="5027930" cy="3697605"/>
            <wp:effectExtent l="0" t="0" r="1270" b="1714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2"/>
                    <a:stretch>
                      <a:fillRect/>
                    </a:stretch>
                  </pic:blipFill>
                  <pic:spPr>
                    <a:xfrm>
                      <a:off x="0" y="0"/>
                      <a:ext cx="5027930" cy="3697605"/>
                    </a:xfrm>
                    <a:prstGeom prst="rect">
                      <a:avLst/>
                    </a:prstGeom>
                    <a:noFill/>
                    <a:ln>
                      <a:noFill/>
                    </a:ln>
                  </pic:spPr>
                </pic:pic>
              </a:graphicData>
            </a:graphic>
          </wp:inline>
        </w:drawing>
      </w:r>
    </w:p>
    <w:p>
      <w:pPr>
        <w:spacing w:line="360" w:lineRule="auto"/>
        <w:rPr>
          <w:rFonts w:hint="eastAsia" w:ascii="微软雅黑" w:hAnsi="微软雅黑" w:eastAsia="微软雅黑"/>
          <w:b/>
          <w:bCs/>
          <w:sz w:val="22"/>
          <w:szCs w:val="22"/>
          <w:lang w:eastAsia="zh-CN"/>
        </w:rPr>
      </w:pPr>
      <w:r>
        <w:rPr>
          <w:rFonts w:hint="eastAsia" w:ascii="微软雅黑" w:hAnsi="微软雅黑" w:eastAsia="微软雅黑"/>
          <w:b/>
          <w:bCs/>
          <w:sz w:val="22"/>
          <w:szCs w:val="22"/>
        </w:rPr>
        <w:t>多伦多大学教授推荐</w:t>
      </w:r>
      <w:r>
        <w:rPr>
          <w:rFonts w:hint="eastAsia" w:ascii="微软雅黑" w:hAnsi="微软雅黑" w:eastAsia="微软雅黑"/>
          <w:b/>
          <w:bCs/>
          <w:sz w:val="22"/>
          <w:szCs w:val="22"/>
          <w:lang w:eastAsia="zh-CN"/>
        </w:rPr>
        <w:t>信</w:t>
      </w:r>
    </w:p>
    <w:p>
      <w:pPr>
        <w:spacing w:line="360" w:lineRule="auto"/>
        <w:jc w:val="center"/>
      </w:pPr>
      <w:r>
        <w:drawing>
          <wp:inline distT="0" distB="0" distL="114300" distR="114300">
            <wp:extent cx="4502150" cy="3860800"/>
            <wp:effectExtent l="0" t="0" r="12700" b="635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3"/>
                    <a:stretch>
                      <a:fillRect/>
                    </a:stretch>
                  </pic:blipFill>
                  <pic:spPr>
                    <a:xfrm>
                      <a:off x="0" y="0"/>
                      <a:ext cx="4502150" cy="3860800"/>
                    </a:xfrm>
                    <a:prstGeom prst="rect">
                      <a:avLst/>
                    </a:prstGeom>
                    <a:noFill/>
                    <a:ln>
                      <a:noFill/>
                    </a:ln>
                  </pic:spPr>
                </pic:pic>
              </a:graphicData>
            </a:graphic>
          </wp:inline>
        </w:drawing>
      </w:r>
    </w:p>
    <w:p>
      <w:pPr>
        <w:numPr>
          <w:ilvl w:val="0"/>
          <w:numId w:val="0"/>
        </w:numPr>
        <w:rPr>
          <w:rFonts w:hint="eastAsia"/>
          <w:lang w:eastAsia="zh-CN"/>
        </w:rPr>
      </w:pPr>
    </w:p>
    <w:p>
      <w:pPr>
        <w:numPr>
          <w:ilvl w:val="0"/>
          <w:numId w:val="0"/>
        </w:numPr>
        <w:rPr>
          <w:rFonts w:hint="eastAsia"/>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Helvetica">
    <w:altName w:val="Arial"/>
    <w:panose1 w:val="020B0604020202020204"/>
    <w:charset w:val="00"/>
    <w:family w:val="swiss"/>
    <w:pitch w:val="default"/>
    <w:sig w:usb0="00000000" w:usb1="0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tabs>
        <w:tab w:val="left" w:pos="1725"/>
      </w:tabs>
      <w:ind w:right="480"/>
      <w:jc w:val="right"/>
      <w:rPr>
        <w:b/>
        <w:bCs/>
        <w:sz w:val="24"/>
        <w:szCs w:val="24"/>
      </w:rPr>
    </w:pPr>
    <w:r>
      <w:rPr>
        <w:sz w:val="24"/>
        <w:szCs w:val="24"/>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6ED526"/>
    <w:multiLevelType w:val="singleLevel"/>
    <w:tmpl w:val="B56ED526"/>
    <w:lvl w:ilvl="0" w:tentative="0">
      <w:start w:val="6"/>
      <w:numFmt w:val="chineseCounting"/>
      <w:suff w:val="nothing"/>
      <w:lvlText w:val="%1、"/>
      <w:lvlJc w:val="left"/>
      <w:rPr>
        <w:rFonts w:hint="eastAsia"/>
      </w:rPr>
    </w:lvl>
  </w:abstractNum>
  <w:abstractNum w:abstractNumId="1">
    <w:nsid w:val="E515DCBE"/>
    <w:multiLevelType w:val="singleLevel"/>
    <w:tmpl w:val="E515DCBE"/>
    <w:lvl w:ilvl="0" w:tentative="0">
      <w:start w:val="1"/>
      <w:numFmt w:val="bullet"/>
      <w:lvlText w:val=""/>
      <w:lvlJc w:val="left"/>
      <w:pPr>
        <w:ind w:left="420" w:hanging="420"/>
      </w:pPr>
      <w:rPr>
        <w:rFonts w:hint="default" w:ascii="Wingdings" w:hAnsi="Wingdings"/>
      </w:rPr>
    </w:lvl>
  </w:abstractNum>
  <w:abstractNum w:abstractNumId="2">
    <w:nsid w:val="F031434F"/>
    <w:multiLevelType w:val="singleLevel"/>
    <w:tmpl w:val="F031434F"/>
    <w:lvl w:ilvl="0" w:tentative="0">
      <w:start w:val="1"/>
      <w:numFmt w:val="bullet"/>
      <w:lvlText w:val=""/>
      <w:lvlJc w:val="left"/>
      <w:pPr>
        <w:ind w:left="420" w:hanging="420"/>
      </w:pPr>
      <w:rPr>
        <w:rFonts w:hint="default" w:ascii="Wingdings" w:hAnsi="Wingdings"/>
      </w:rPr>
    </w:lvl>
  </w:abstractNum>
  <w:abstractNum w:abstractNumId="3">
    <w:nsid w:val="22115041"/>
    <w:multiLevelType w:val="singleLevel"/>
    <w:tmpl w:val="22115041"/>
    <w:lvl w:ilvl="0" w:tentative="0">
      <w:start w:val="3"/>
      <w:numFmt w:val="decimal"/>
      <w:suff w:val="space"/>
      <w:lvlText w:val="%1."/>
      <w:lvlJc w:val="left"/>
    </w:lvl>
  </w:abstractNum>
  <w:abstractNum w:abstractNumId="4">
    <w:nsid w:val="32651811"/>
    <w:multiLevelType w:val="multilevel"/>
    <w:tmpl w:val="32651811"/>
    <w:lvl w:ilvl="0" w:tentative="0">
      <w:start w:val="1"/>
      <w:numFmt w:val="decimal"/>
      <w:lvlText w:val="%1."/>
      <w:lvlJc w:val="left"/>
      <w:pPr>
        <w:ind w:left="840" w:hanging="360"/>
      </w:pPr>
      <w:rPr>
        <w:rFonts w:hint="default"/>
        <w:shd w:val="clear" w:color="auto" w:fill="auto"/>
      </w:rPr>
    </w:lvl>
    <w:lvl w:ilvl="1" w:tentative="0">
      <w:start w:val="1"/>
      <w:numFmt w:val="lowerLetter"/>
      <w:lvlText w:val="%2."/>
      <w:lvlJc w:val="left"/>
      <w:pPr>
        <w:ind w:left="1710" w:hanging="510"/>
      </w:pPr>
      <w:rPr>
        <w:rFonts w:hint="default"/>
        <w:b w:val="0"/>
        <w:bCs w:val="0"/>
      </w:rPr>
    </w:lvl>
    <w:lvl w:ilvl="2" w:tentative="0">
      <w:start w:val="1"/>
      <w:numFmt w:val="lowerRoman"/>
      <w:lvlText w:val="%3."/>
      <w:lvlJc w:val="right"/>
      <w:pPr>
        <w:ind w:left="2280" w:hanging="180"/>
      </w:pPr>
    </w:lvl>
    <w:lvl w:ilvl="3" w:tentative="0">
      <w:start w:val="1"/>
      <w:numFmt w:val="decimal"/>
      <w:lvlText w:val="%4."/>
      <w:lvlJc w:val="left"/>
      <w:pPr>
        <w:ind w:left="3000" w:hanging="360"/>
      </w:pPr>
    </w:lvl>
    <w:lvl w:ilvl="4" w:tentative="0">
      <w:start w:val="1"/>
      <w:numFmt w:val="lowerLetter"/>
      <w:lvlText w:val="%5."/>
      <w:lvlJc w:val="left"/>
      <w:pPr>
        <w:ind w:left="3720" w:hanging="360"/>
      </w:pPr>
    </w:lvl>
    <w:lvl w:ilvl="5" w:tentative="0">
      <w:start w:val="1"/>
      <w:numFmt w:val="lowerRoman"/>
      <w:lvlText w:val="%6."/>
      <w:lvlJc w:val="right"/>
      <w:pPr>
        <w:ind w:left="4440" w:hanging="180"/>
      </w:pPr>
    </w:lvl>
    <w:lvl w:ilvl="6" w:tentative="0">
      <w:start w:val="1"/>
      <w:numFmt w:val="decimal"/>
      <w:lvlText w:val="%7."/>
      <w:lvlJc w:val="left"/>
      <w:pPr>
        <w:ind w:left="5160" w:hanging="360"/>
      </w:pPr>
    </w:lvl>
    <w:lvl w:ilvl="7" w:tentative="0">
      <w:start w:val="1"/>
      <w:numFmt w:val="lowerLetter"/>
      <w:lvlText w:val="%8."/>
      <w:lvlJc w:val="left"/>
      <w:pPr>
        <w:ind w:left="5880" w:hanging="360"/>
      </w:pPr>
    </w:lvl>
    <w:lvl w:ilvl="8" w:tentative="0">
      <w:start w:val="1"/>
      <w:numFmt w:val="lowerRoman"/>
      <w:lvlText w:val="%9."/>
      <w:lvlJc w:val="right"/>
      <w:pPr>
        <w:ind w:left="6600" w:hanging="180"/>
      </w:pPr>
    </w:lvl>
  </w:abstractNum>
  <w:abstractNum w:abstractNumId="5">
    <w:nsid w:val="537D2F21"/>
    <w:multiLevelType w:val="multilevel"/>
    <w:tmpl w:val="537D2F21"/>
    <w:lvl w:ilvl="0" w:tentative="0">
      <w:start w:val="1"/>
      <w:numFmt w:val="lowerLetter"/>
      <w:lvlText w:val="%1)"/>
      <w:lvlJc w:val="left"/>
      <w:pPr>
        <w:ind w:left="-120" w:hanging="360"/>
      </w:pPr>
    </w:lvl>
    <w:lvl w:ilvl="1" w:tentative="0">
      <w:start w:val="1"/>
      <w:numFmt w:val="bullet"/>
      <w:lvlText w:val=""/>
      <w:lvlJc w:val="left"/>
      <w:pPr>
        <w:ind w:left="600" w:hanging="360"/>
      </w:pPr>
      <w:rPr>
        <w:rFonts w:hint="default" w:ascii="Symbol" w:hAnsi="Symbol"/>
      </w:rPr>
    </w:lvl>
    <w:lvl w:ilvl="2" w:tentative="0">
      <w:start w:val="1"/>
      <w:numFmt w:val="bullet"/>
      <w:lvlText w:val=""/>
      <w:lvlJc w:val="left"/>
      <w:pPr>
        <w:ind w:left="1320" w:hanging="180"/>
      </w:pPr>
      <w:rPr>
        <w:rFonts w:hint="default" w:ascii="Symbol" w:hAnsi="Symbol"/>
      </w:rPr>
    </w:lvl>
    <w:lvl w:ilvl="3" w:tentative="0">
      <w:start w:val="1"/>
      <w:numFmt w:val="decimal"/>
      <w:lvlText w:val="%4."/>
      <w:lvlJc w:val="left"/>
      <w:pPr>
        <w:ind w:left="2040" w:hanging="360"/>
      </w:pPr>
    </w:lvl>
    <w:lvl w:ilvl="4" w:tentative="0">
      <w:start w:val="1"/>
      <w:numFmt w:val="lowerLetter"/>
      <w:lvlText w:val="%5."/>
      <w:lvlJc w:val="left"/>
      <w:pPr>
        <w:ind w:left="2760" w:hanging="360"/>
      </w:pPr>
    </w:lvl>
    <w:lvl w:ilvl="5" w:tentative="0">
      <w:start w:val="1"/>
      <w:numFmt w:val="lowerRoman"/>
      <w:lvlText w:val="%6."/>
      <w:lvlJc w:val="right"/>
      <w:pPr>
        <w:ind w:left="3480" w:hanging="180"/>
      </w:pPr>
    </w:lvl>
    <w:lvl w:ilvl="6" w:tentative="0">
      <w:start w:val="1"/>
      <w:numFmt w:val="decimal"/>
      <w:lvlText w:val="%7."/>
      <w:lvlJc w:val="left"/>
      <w:pPr>
        <w:ind w:left="4200" w:hanging="360"/>
      </w:pPr>
    </w:lvl>
    <w:lvl w:ilvl="7" w:tentative="0">
      <w:start w:val="1"/>
      <w:numFmt w:val="lowerLetter"/>
      <w:lvlText w:val="%8."/>
      <w:lvlJc w:val="left"/>
      <w:pPr>
        <w:ind w:left="4920" w:hanging="360"/>
      </w:pPr>
    </w:lvl>
    <w:lvl w:ilvl="8" w:tentative="0">
      <w:start w:val="1"/>
      <w:numFmt w:val="lowerRoman"/>
      <w:lvlText w:val="%9."/>
      <w:lvlJc w:val="right"/>
      <w:pPr>
        <w:ind w:left="5640" w:hanging="180"/>
      </w:pPr>
    </w:lvl>
  </w:abstractNum>
  <w:abstractNum w:abstractNumId="6">
    <w:nsid w:val="65B400F6"/>
    <w:multiLevelType w:val="multilevel"/>
    <w:tmpl w:val="65B400F6"/>
    <w:lvl w:ilvl="0" w:tentative="0">
      <w:start w:val="1"/>
      <w:numFmt w:val="bullet"/>
      <w:lvlText w:val=""/>
      <w:lvlJc w:val="left"/>
      <w:pPr>
        <w:ind w:left="1200" w:hanging="360"/>
      </w:pPr>
      <w:rPr>
        <w:rFonts w:hint="default" w:ascii="Symbol" w:hAnsi="Symbol"/>
      </w:rPr>
    </w:lvl>
    <w:lvl w:ilvl="1" w:tentative="0">
      <w:start w:val="1"/>
      <w:numFmt w:val="bullet"/>
      <w:lvlText w:val="o"/>
      <w:lvlJc w:val="left"/>
      <w:pPr>
        <w:ind w:left="1920" w:hanging="360"/>
      </w:pPr>
      <w:rPr>
        <w:rFonts w:hint="default" w:ascii="Courier New" w:hAnsi="Courier New" w:cs="Courier New"/>
      </w:rPr>
    </w:lvl>
    <w:lvl w:ilvl="2" w:tentative="0">
      <w:start w:val="1"/>
      <w:numFmt w:val="bullet"/>
      <w:lvlText w:val=""/>
      <w:lvlJc w:val="left"/>
      <w:pPr>
        <w:ind w:left="2640" w:hanging="360"/>
      </w:pPr>
      <w:rPr>
        <w:rFonts w:hint="default" w:ascii="Wingdings" w:hAnsi="Wingdings"/>
      </w:rPr>
    </w:lvl>
    <w:lvl w:ilvl="3" w:tentative="0">
      <w:start w:val="1"/>
      <w:numFmt w:val="bullet"/>
      <w:lvlText w:val=""/>
      <w:lvlJc w:val="left"/>
      <w:pPr>
        <w:ind w:left="3360" w:hanging="360"/>
      </w:pPr>
      <w:rPr>
        <w:rFonts w:hint="default" w:ascii="Symbol" w:hAnsi="Symbol"/>
      </w:rPr>
    </w:lvl>
    <w:lvl w:ilvl="4" w:tentative="0">
      <w:start w:val="1"/>
      <w:numFmt w:val="bullet"/>
      <w:lvlText w:val="o"/>
      <w:lvlJc w:val="left"/>
      <w:pPr>
        <w:ind w:left="4080" w:hanging="360"/>
      </w:pPr>
      <w:rPr>
        <w:rFonts w:hint="default" w:ascii="Courier New" w:hAnsi="Courier New" w:cs="Courier New"/>
      </w:rPr>
    </w:lvl>
    <w:lvl w:ilvl="5" w:tentative="0">
      <w:start w:val="1"/>
      <w:numFmt w:val="bullet"/>
      <w:lvlText w:val=""/>
      <w:lvlJc w:val="left"/>
      <w:pPr>
        <w:ind w:left="4800" w:hanging="360"/>
      </w:pPr>
      <w:rPr>
        <w:rFonts w:hint="default" w:ascii="Wingdings" w:hAnsi="Wingdings"/>
      </w:rPr>
    </w:lvl>
    <w:lvl w:ilvl="6" w:tentative="0">
      <w:start w:val="1"/>
      <w:numFmt w:val="bullet"/>
      <w:lvlText w:val=""/>
      <w:lvlJc w:val="left"/>
      <w:pPr>
        <w:ind w:left="5520" w:hanging="360"/>
      </w:pPr>
      <w:rPr>
        <w:rFonts w:hint="default" w:ascii="Symbol" w:hAnsi="Symbol"/>
      </w:rPr>
    </w:lvl>
    <w:lvl w:ilvl="7" w:tentative="0">
      <w:start w:val="1"/>
      <w:numFmt w:val="bullet"/>
      <w:lvlText w:val="o"/>
      <w:lvlJc w:val="left"/>
      <w:pPr>
        <w:ind w:left="6240" w:hanging="360"/>
      </w:pPr>
      <w:rPr>
        <w:rFonts w:hint="default" w:ascii="Courier New" w:hAnsi="Courier New" w:cs="Courier New"/>
      </w:rPr>
    </w:lvl>
    <w:lvl w:ilvl="8" w:tentative="0">
      <w:start w:val="1"/>
      <w:numFmt w:val="bullet"/>
      <w:lvlText w:val=""/>
      <w:lvlJc w:val="left"/>
      <w:pPr>
        <w:ind w:left="6960" w:hanging="360"/>
      </w:pPr>
      <w:rPr>
        <w:rFonts w:hint="default" w:ascii="Wingdings" w:hAnsi="Wingdings"/>
      </w:rPr>
    </w:lvl>
  </w:abstractNum>
  <w:abstractNum w:abstractNumId="7">
    <w:nsid w:val="660A6B55"/>
    <w:multiLevelType w:val="multilevel"/>
    <w:tmpl w:val="660A6B55"/>
    <w:lvl w:ilvl="0" w:tentative="0">
      <w:start w:val="1"/>
      <w:numFmt w:val="bullet"/>
      <w:lvlText w:val=""/>
      <w:lvlJc w:val="left"/>
      <w:pPr>
        <w:ind w:left="1200" w:hanging="360"/>
      </w:pPr>
      <w:rPr>
        <w:rFonts w:hint="default" w:ascii="Symbol" w:hAnsi="Symbol"/>
        <w:shd w:val="clear" w:color="auto" w:fill="auto"/>
      </w:rPr>
    </w:lvl>
    <w:lvl w:ilvl="1" w:tentative="0">
      <w:start w:val="1"/>
      <w:numFmt w:val="lowerLetter"/>
      <w:lvlText w:val="%2)"/>
      <w:lvlJc w:val="left"/>
      <w:pPr>
        <w:ind w:left="2070" w:hanging="510"/>
      </w:pPr>
      <w:rPr>
        <w:rFonts w:hint="default"/>
      </w:rPr>
    </w:lvl>
    <w:lvl w:ilvl="2" w:tentative="0">
      <w:start w:val="1"/>
      <w:numFmt w:val="lowerRoman"/>
      <w:lvlText w:val="%3."/>
      <w:lvlJc w:val="right"/>
      <w:pPr>
        <w:ind w:left="2640" w:hanging="180"/>
      </w:pPr>
    </w:lvl>
    <w:lvl w:ilvl="3" w:tentative="0">
      <w:start w:val="1"/>
      <w:numFmt w:val="decimal"/>
      <w:lvlText w:val="%4."/>
      <w:lvlJc w:val="left"/>
      <w:pPr>
        <w:ind w:left="3360" w:hanging="360"/>
      </w:pPr>
    </w:lvl>
    <w:lvl w:ilvl="4" w:tentative="0">
      <w:start w:val="1"/>
      <w:numFmt w:val="lowerLetter"/>
      <w:lvlText w:val="%5."/>
      <w:lvlJc w:val="left"/>
      <w:pPr>
        <w:ind w:left="4080" w:hanging="360"/>
      </w:pPr>
    </w:lvl>
    <w:lvl w:ilvl="5" w:tentative="0">
      <w:start w:val="1"/>
      <w:numFmt w:val="lowerRoman"/>
      <w:lvlText w:val="%6."/>
      <w:lvlJc w:val="right"/>
      <w:pPr>
        <w:ind w:left="4800" w:hanging="180"/>
      </w:pPr>
    </w:lvl>
    <w:lvl w:ilvl="6" w:tentative="0">
      <w:start w:val="1"/>
      <w:numFmt w:val="decimal"/>
      <w:lvlText w:val="%7."/>
      <w:lvlJc w:val="left"/>
      <w:pPr>
        <w:ind w:left="5520" w:hanging="360"/>
      </w:pPr>
    </w:lvl>
    <w:lvl w:ilvl="7" w:tentative="0">
      <w:start w:val="1"/>
      <w:numFmt w:val="lowerLetter"/>
      <w:lvlText w:val="%8."/>
      <w:lvlJc w:val="left"/>
      <w:pPr>
        <w:ind w:left="6240" w:hanging="360"/>
      </w:pPr>
    </w:lvl>
    <w:lvl w:ilvl="8" w:tentative="0">
      <w:start w:val="1"/>
      <w:numFmt w:val="lowerRoman"/>
      <w:lvlText w:val="%9."/>
      <w:lvlJc w:val="right"/>
      <w:pPr>
        <w:ind w:left="6960" w:hanging="180"/>
      </w:pPr>
    </w:lvl>
  </w:abstractNum>
  <w:abstractNum w:abstractNumId="8">
    <w:nsid w:val="721A20E7"/>
    <w:multiLevelType w:val="multilevel"/>
    <w:tmpl w:val="721A20E7"/>
    <w:lvl w:ilvl="0" w:tentative="0">
      <w:start w:val="1"/>
      <w:numFmt w:val="bullet"/>
      <w:lvlText w:val=""/>
      <w:lvlJc w:val="left"/>
      <w:pPr>
        <w:ind w:left="1140" w:hanging="360"/>
      </w:pPr>
      <w:rPr>
        <w:rFonts w:hint="default" w:ascii="Symbol" w:hAnsi="Symbol"/>
      </w:rPr>
    </w:lvl>
    <w:lvl w:ilvl="1" w:tentative="0">
      <w:start w:val="1"/>
      <w:numFmt w:val="bullet"/>
      <w:lvlText w:val="o"/>
      <w:lvlJc w:val="left"/>
      <w:pPr>
        <w:ind w:left="1860" w:hanging="360"/>
      </w:pPr>
      <w:rPr>
        <w:rFonts w:hint="default" w:ascii="Courier New" w:hAnsi="Courier New" w:cs="Courier New"/>
      </w:rPr>
    </w:lvl>
    <w:lvl w:ilvl="2" w:tentative="0">
      <w:start w:val="1"/>
      <w:numFmt w:val="bullet"/>
      <w:lvlText w:val=""/>
      <w:lvlJc w:val="left"/>
      <w:pPr>
        <w:ind w:left="2580" w:hanging="360"/>
      </w:pPr>
      <w:rPr>
        <w:rFonts w:hint="default" w:ascii="Wingdings" w:hAnsi="Wingdings"/>
      </w:rPr>
    </w:lvl>
    <w:lvl w:ilvl="3" w:tentative="0">
      <w:start w:val="1"/>
      <w:numFmt w:val="bullet"/>
      <w:lvlText w:val=""/>
      <w:lvlJc w:val="left"/>
      <w:pPr>
        <w:ind w:left="3300" w:hanging="360"/>
      </w:pPr>
      <w:rPr>
        <w:rFonts w:hint="default" w:ascii="Symbol" w:hAnsi="Symbol"/>
      </w:rPr>
    </w:lvl>
    <w:lvl w:ilvl="4" w:tentative="0">
      <w:start w:val="1"/>
      <w:numFmt w:val="bullet"/>
      <w:lvlText w:val="o"/>
      <w:lvlJc w:val="left"/>
      <w:pPr>
        <w:ind w:left="4020" w:hanging="360"/>
      </w:pPr>
      <w:rPr>
        <w:rFonts w:hint="default" w:ascii="Courier New" w:hAnsi="Courier New" w:cs="Courier New"/>
      </w:rPr>
    </w:lvl>
    <w:lvl w:ilvl="5" w:tentative="0">
      <w:start w:val="1"/>
      <w:numFmt w:val="bullet"/>
      <w:lvlText w:val=""/>
      <w:lvlJc w:val="left"/>
      <w:pPr>
        <w:ind w:left="4740" w:hanging="360"/>
      </w:pPr>
      <w:rPr>
        <w:rFonts w:hint="default" w:ascii="Wingdings" w:hAnsi="Wingdings"/>
      </w:rPr>
    </w:lvl>
    <w:lvl w:ilvl="6" w:tentative="0">
      <w:start w:val="1"/>
      <w:numFmt w:val="bullet"/>
      <w:lvlText w:val=""/>
      <w:lvlJc w:val="left"/>
      <w:pPr>
        <w:ind w:left="5460" w:hanging="360"/>
      </w:pPr>
      <w:rPr>
        <w:rFonts w:hint="default" w:ascii="Symbol" w:hAnsi="Symbol"/>
      </w:rPr>
    </w:lvl>
    <w:lvl w:ilvl="7" w:tentative="0">
      <w:start w:val="1"/>
      <w:numFmt w:val="bullet"/>
      <w:lvlText w:val="o"/>
      <w:lvlJc w:val="left"/>
      <w:pPr>
        <w:ind w:left="6180" w:hanging="360"/>
      </w:pPr>
      <w:rPr>
        <w:rFonts w:hint="default" w:ascii="Courier New" w:hAnsi="Courier New" w:cs="Courier New"/>
      </w:rPr>
    </w:lvl>
    <w:lvl w:ilvl="8" w:tentative="0">
      <w:start w:val="1"/>
      <w:numFmt w:val="bullet"/>
      <w:lvlText w:val=""/>
      <w:lvlJc w:val="left"/>
      <w:pPr>
        <w:ind w:left="6900" w:hanging="360"/>
      </w:pPr>
      <w:rPr>
        <w:rFonts w:hint="default" w:ascii="Wingdings" w:hAnsi="Wingdings"/>
      </w:rPr>
    </w:lvl>
  </w:abstractNum>
  <w:num w:numId="1">
    <w:abstractNumId w:val="1"/>
  </w:num>
  <w:num w:numId="2">
    <w:abstractNumId w:val="5"/>
  </w:num>
  <w:num w:numId="3">
    <w:abstractNumId w:val="8"/>
  </w:num>
  <w:num w:numId="4">
    <w:abstractNumId w:val="2"/>
  </w:num>
  <w:num w:numId="5">
    <w:abstractNumId w:val="3"/>
  </w:num>
  <w:num w:numId="6">
    <w:abstractNumId w:val="0"/>
  </w:num>
  <w:num w:numId="7">
    <w:abstractNumId w:val="4"/>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zMTc2MmJmOTI2ZDZhYTJhYmJjMWZkY2E2YzFhOGIifQ=="/>
  </w:docVars>
  <w:rsids>
    <w:rsidRoot w:val="73F10B2E"/>
    <w:rsid w:val="3C5B64D3"/>
    <w:rsid w:val="73F10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autoRedefin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iPriority w:val="0"/>
    <w:rPr>
      <w:color w:val="0000FF"/>
      <w:u w:val="single"/>
    </w:rPr>
  </w:style>
  <w:style w:type="paragraph" w:styleId="8">
    <w:name w:val="List Paragraph"/>
    <w:basedOn w:val="1"/>
    <w:qFormat/>
    <w:uiPriority w:val="34"/>
    <w:pPr>
      <w:widowControl/>
      <w:spacing w:after="200" w:line="276" w:lineRule="auto"/>
      <w:ind w:left="720"/>
      <w:contextualSpacing/>
      <w:jc w:val="left"/>
    </w:pPr>
    <w:rPr>
      <w:rFonts w:ascii="Calibri" w:hAnsi="Calibri"/>
      <w:kern w:val="0"/>
      <w:sz w:val="22"/>
      <w:szCs w:val="22"/>
      <w:lang w:eastAsia="en-US"/>
    </w:rPr>
  </w:style>
  <w:style w:type="character" w:customStyle="1" w:styleId="9">
    <w:name w:val="uif-headertext-span"/>
    <w:autoRedefine/>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0</Words>
  <Characters>0</Characters>
  <Lines>0</Lines>
  <Paragraphs>0</Paragraphs>
  <TotalTime>16</TotalTime>
  <ScaleCrop>false</ScaleCrop>
  <LinksUpToDate>false</LinksUpToDate>
  <CharactersWithSpaces>0</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2024-04-18T03:55:00Z</dcterms:created>
  <dc:creator>企业用户_301939752</dc:creator>
  <cp:lastModifiedBy>PC</cp:lastModifiedBy>
  <dcterms:modified xsi:type="dcterms:W3CDTF">2024-04-24T04:16:40Z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750532D6DE7A4C27BC52D5989EE6C4E0_11</vt:lpwstr>
  </property>
</Properties>
</file>